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83B6F" w14:textId="77777777" w:rsidR="00601B58" w:rsidRPr="00622813" w:rsidRDefault="00601B58" w:rsidP="003344A6">
      <w:pPr>
        <w:jc w:val="center"/>
        <w:outlineLvl w:val="0"/>
        <w:rPr>
          <w:color w:val="000000" w:themeColor="text1"/>
          <w:sz w:val="22"/>
          <w:szCs w:val="22"/>
        </w:rPr>
      </w:pPr>
      <w:r w:rsidRPr="00622813">
        <w:rPr>
          <w:color w:val="000000" w:themeColor="text1"/>
          <w:sz w:val="22"/>
          <w:szCs w:val="22"/>
        </w:rPr>
        <w:t>Northern Arizona University</w:t>
      </w:r>
    </w:p>
    <w:p w14:paraId="753CFB58" w14:textId="64858D64" w:rsidR="00D550EC" w:rsidRPr="00622813" w:rsidRDefault="00601B58" w:rsidP="003344A6">
      <w:pPr>
        <w:jc w:val="center"/>
        <w:outlineLvl w:val="0"/>
        <w:rPr>
          <w:color w:val="000000" w:themeColor="text1"/>
          <w:sz w:val="22"/>
          <w:szCs w:val="22"/>
        </w:rPr>
      </w:pPr>
      <w:r w:rsidRPr="00622813">
        <w:rPr>
          <w:color w:val="000000" w:themeColor="text1"/>
          <w:sz w:val="22"/>
          <w:szCs w:val="22"/>
        </w:rPr>
        <w:t xml:space="preserve">Required Qualifications for </w:t>
      </w:r>
      <w:r w:rsidR="00361F04" w:rsidRPr="00622813">
        <w:rPr>
          <w:color w:val="000000" w:themeColor="text1"/>
          <w:sz w:val="22"/>
          <w:szCs w:val="22"/>
        </w:rPr>
        <w:t xml:space="preserve">Instructional </w:t>
      </w:r>
      <w:r w:rsidRPr="00622813">
        <w:rPr>
          <w:color w:val="000000" w:themeColor="text1"/>
          <w:sz w:val="22"/>
          <w:szCs w:val="22"/>
        </w:rPr>
        <w:t xml:space="preserve">Faculty </w:t>
      </w:r>
    </w:p>
    <w:p w14:paraId="3F836012" w14:textId="66515235" w:rsidR="00601B58" w:rsidRPr="00622813" w:rsidRDefault="00344B13" w:rsidP="003344A6">
      <w:pPr>
        <w:jc w:val="center"/>
        <w:outlineLvl w:val="0"/>
        <w:rPr>
          <w:color w:val="000000" w:themeColor="text1"/>
          <w:sz w:val="22"/>
          <w:szCs w:val="22"/>
        </w:rPr>
      </w:pPr>
      <w:r w:rsidRPr="00622813">
        <w:rPr>
          <w:color w:val="000000" w:themeColor="text1"/>
          <w:sz w:val="22"/>
          <w:szCs w:val="22"/>
        </w:rPr>
        <w:t xml:space="preserve">Effective </w:t>
      </w:r>
      <w:r w:rsidR="00D92A5E" w:rsidRPr="00622813">
        <w:rPr>
          <w:color w:val="000000" w:themeColor="text1"/>
          <w:sz w:val="22"/>
          <w:szCs w:val="22"/>
        </w:rPr>
        <w:t>January 1, 2017</w:t>
      </w:r>
    </w:p>
    <w:p w14:paraId="36985F14" w14:textId="74F4AEDD" w:rsidR="00341A16" w:rsidRPr="00622813" w:rsidRDefault="00952BE7" w:rsidP="00246607">
      <w:pPr>
        <w:jc w:val="center"/>
        <w:outlineLvl w:val="0"/>
        <w:rPr>
          <w:color w:val="000000" w:themeColor="text1"/>
          <w:sz w:val="22"/>
          <w:szCs w:val="22"/>
        </w:rPr>
      </w:pPr>
      <w:r w:rsidRPr="00622813">
        <w:rPr>
          <w:color w:val="000000" w:themeColor="text1"/>
          <w:sz w:val="22"/>
          <w:szCs w:val="22"/>
        </w:rPr>
        <w:t>Approved by Faculty Senate, November 7, 2016</w:t>
      </w:r>
      <w:r w:rsidR="00246607">
        <w:rPr>
          <w:color w:val="000000" w:themeColor="text1"/>
          <w:sz w:val="22"/>
          <w:szCs w:val="22"/>
        </w:rPr>
        <w:t>; R</w:t>
      </w:r>
      <w:r w:rsidR="004A2B9C" w:rsidRPr="00622813">
        <w:rPr>
          <w:color w:val="000000" w:themeColor="text1"/>
          <w:sz w:val="22"/>
          <w:szCs w:val="22"/>
        </w:rPr>
        <w:t xml:space="preserve">evisions </w:t>
      </w:r>
      <w:r w:rsidR="0071530E">
        <w:rPr>
          <w:color w:val="000000" w:themeColor="text1"/>
          <w:sz w:val="22"/>
          <w:szCs w:val="22"/>
        </w:rPr>
        <w:t>approved</w:t>
      </w:r>
      <w:r w:rsidR="00246607">
        <w:rPr>
          <w:color w:val="000000" w:themeColor="text1"/>
          <w:sz w:val="22"/>
          <w:szCs w:val="22"/>
        </w:rPr>
        <w:t xml:space="preserve"> September 11, 2017</w:t>
      </w:r>
    </w:p>
    <w:p w14:paraId="2E096B2E" w14:textId="77777777" w:rsidR="00601B58" w:rsidRPr="00622813" w:rsidRDefault="00601B58">
      <w:pPr>
        <w:rPr>
          <w:color w:val="000000" w:themeColor="text1"/>
          <w:sz w:val="22"/>
          <w:szCs w:val="22"/>
        </w:rPr>
      </w:pPr>
    </w:p>
    <w:p w14:paraId="3A6198FB" w14:textId="17FB13B5" w:rsidR="00601B58" w:rsidRPr="00622813" w:rsidRDefault="00601B58">
      <w:pPr>
        <w:rPr>
          <w:color w:val="000000" w:themeColor="text1"/>
          <w:sz w:val="22"/>
          <w:szCs w:val="22"/>
        </w:rPr>
      </w:pPr>
      <w:r w:rsidRPr="00622813">
        <w:rPr>
          <w:color w:val="000000" w:themeColor="text1"/>
          <w:sz w:val="22"/>
          <w:szCs w:val="22"/>
        </w:rPr>
        <w:t>Northern Arizona University remains committed to ensuring that instruction is provided by qualified faculty members.  This document details the policies</w:t>
      </w:r>
      <w:r w:rsidR="00361F04" w:rsidRPr="00622813">
        <w:rPr>
          <w:color w:val="000000" w:themeColor="text1"/>
          <w:sz w:val="22"/>
          <w:szCs w:val="22"/>
        </w:rPr>
        <w:t xml:space="preserve"> and</w:t>
      </w:r>
      <w:r w:rsidRPr="00622813">
        <w:rPr>
          <w:color w:val="000000" w:themeColor="text1"/>
          <w:sz w:val="22"/>
          <w:szCs w:val="22"/>
        </w:rPr>
        <w:t xml:space="preserve"> </w:t>
      </w:r>
      <w:r w:rsidR="00EB0FD3" w:rsidRPr="00622813">
        <w:rPr>
          <w:color w:val="000000" w:themeColor="text1"/>
          <w:sz w:val="22"/>
          <w:szCs w:val="22"/>
        </w:rPr>
        <w:t>procedures</w:t>
      </w:r>
      <w:r w:rsidRPr="00622813">
        <w:rPr>
          <w:color w:val="000000" w:themeColor="text1"/>
          <w:sz w:val="22"/>
          <w:szCs w:val="22"/>
        </w:rPr>
        <w:t xml:space="preserve"> associated with that assurance.</w:t>
      </w:r>
    </w:p>
    <w:p w14:paraId="4D36A3C8" w14:textId="77777777" w:rsidR="00601B58" w:rsidRPr="00622813" w:rsidRDefault="00601B58">
      <w:pPr>
        <w:rPr>
          <w:color w:val="000000" w:themeColor="text1"/>
          <w:sz w:val="22"/>
          <w:szCs w:val="22"/>
        </w:rPr>
      </w:pPr>
    </w:p>
    <w:p w14:paraId="5E5B0BF2" w14:textId="69E54ABF" w:rsidR="00336106" w:rsidRPr="00622813" w:rsidRDefault="001670F4" w:rsidP="006023A0">
      <w:pPr>
        <w:rPr>
          <w:color w:val="000000" w:themeColor="text1"/>
          <w:sz w:val="22"/>
          <w:szCs w:val="22"/>
        </w:rPr>
      </w:pPr>
      <w:r w:rsidRPr="00622813">
        <w:rPr>
          <w:color w:val="000000" w:themeColor="text1"/>
          <w:sz w:val="22"/>
          <w:szCs w:val="22"/>
        </w:rPr>
        <w:t>All faculty</w:t>
      </w:r>
      <w:r w:rsidR="00EB0FD3" w:rsidRPr="00622813">
        <w:rPr>
          <w:color w:val="000000" w:themeColor="text1"/>
          <w:sz w:val="22"/>
          <w:szCs w:val="22"/>
        </w:rPr>
        <w:t xml:space="preserve">—tenured, tenure track, non-tenure track, and part-time—must </w:t>
      </w:r>
      <w:bookmarkStart w:id="0" w:name="_GoBack"/>
      <w:bookmarkEnd w:id="0"/>
      <w:r w:rsidR="00601B58" w:rsidRPr="00622813">
        <w:rPr>
          <w:color w:val="000000" w:themeColor="text1"/>
          <w:sz w:val="22"/>
          <w:szCs w:val="22"/>
        </w:rPr>
        <w:t>have appropriate qualifications related to the level and content of each course taught.</w:t>
      </w:r>
      <w:r w:rsidR="006023A0" w:rsidRPr="00622813">
        <w:rPr>
          <w:color w:val="000000" w:themeColor="text1"/>
          <w:sz w:val="22"/>
          <w:szCs w:val="22"/>
        </w:rPr>
        <w:t xml:space="preserve"> Faculty must have either the terminal degree or a degree one level above the target degree for the program in which they teach (e.g., instructors for a baccalaureate program must have at least a master’s degree)</w:t>
      </w:r>
      <w:r w:rsidR="0089207B" w:rsidRPr="00622813">
        <w:rPr>
          <w:color w:val="000000" w:themeColor="text1"/>
          <w:sz w:val="22"/>
          <w:szCs w:val="22"/>
        </w:rPr>
        <w:t xml:space="preserve"> and/or for which they take the primary responsibility for developing the curricula</w:t>
      </w:r>
      <w:r w:rsidR="006023A0" w:rsidRPr="00622813">
        <w:rPr>
          <w:color w:val="000000" w:themeColor="text1"/>
          <w:sz w:val="22"/>
          <w:szCs w:val="22"/>
        </w:rPr>
        <w:t xml:space="preserve">. Exceptions to this must be approved by the dean in accordance with </w:t>
      </w:r>
      <w:r w:rsidR="00320DC8" w:rsidRPr="00622813">
        <w:rPr>
          <w:color w:val="000000" w:themeColor="text1"/>
          <w:sz w:val="22"/>
          <w:szCs w:val="22"/>
        </w:rPr>
        <w:t>#2</w:t>
      </w:r>
      <w:r w:rsidR="006023A0" w:rsidRPr="00622813">
        <w:rPr>
          <w:color w:val="000000" w:themeColor="text1"/>
          <w:sz w:val="22"/>
          <w:szCs w:val="22"/>
        </w:rPr>
        <w:t xml:space="preserve"> below. </w:t>
      </w:r>
    </w:p>
    <w:p w14:paraId="140B3690" w14:textId="77777777" w:rsidR="00D7641F" w:rsidRPr="00622813" w:rsidRDefault="00D7641F" w:rsidP="00D7641F">
      <w:pPr>
        <w:rPr>
          <w:color w:val="000000" w:themeColor="text1"/>
          <w:sz w:val="22"/>
          <w:szCs w:val="22"/>
        </w:rPr>
      </w:pPr>
    </w:p>
    <w:p w14:paraId="7307F9E8" w14:textId="5ACA66D5" w:rsidR="00D7641F" w:rsidRPr="00622813" w:rsidRDefault="00D7641F" w:rsidP="00D7641F">
      <w:pPr>
        <w:rPr>
          <w:color w:val="000000" w:themeColor="text1"/>
          <w:sz w:val="22"/>
          <w:szCs w:val="22"/>
        </w:rPr>
      </w:pPr>
      <w:r w:rsidRPr="00622813">
        <w:rPr>
          <w:color w:val="000000" w:themeColor="text1"/>
          <w:sz w:val="22"/>
          <w:szCs w:val="22"/>
        </w:rPr>
        <w:t xml:space="preserve">It is the responsibility of the hiring authority (chair, director or dean) to ensure and document the qualifications of faculty members hired to teach at Northern Arizona University. Documentation of the faculty qualifications </w:t>
      </w:r>
      <w:r w:rsidR="007850ED" w:rsidRPr="00622813">
        <w:rPr>
          <w:color w:val="000000" w:themeColor="text1"/>
          <w:sz w:val="22"/>
          <w:szCs w:val="22"/>
        </w:rPr>
        <w:t xml:space="preserve">must be </w:t>
      </w:r>
      <w:r w:rsidR="006B79CF" w:rsidRPr="00622813">
        <w:rPr>
          <w:color w:val="000000" w:themeColor="text1"/>
          <w:sz w:val="22"/>
          <w:szCs w:val="22"/>
        </w:rPr>
        <w:t>available for verification</w:t>
      </w:r>
      <w:r w:rsidR="007850ED" w:rsidRPr="00622813">
        <w:rPr>
          <w:color w:val="000000" w:themeColor="text1"/>
          <w:sz w:val="22"/>
          <w:szCs w:val="22"/>
        </w:rPr>
        <w:t>, either</w:t>
      </w:r>
      <w:r w:rsidR="006B79CF" w:rsidRPr="00622813">
        <w:rPr>
          <w:color w:val="000000" w:themeColor="text1"/>
          <w:sz w:val="22"/>
          <w:szCs w:val="22"/>
        </w:rPr>
        <w:t xml:space="preserve"> </w:t>
      </w:r>
      <w:r w:rsidR="00106D58" w:rsidRPr="00622813">
        <w:rPr>
          <w:color w:val="000000" w:themeColor="text1"/>
          <w:sz w:val="22"/>
          <w:szCs w:val="22"/>
        </w:rPr>
        <w:t xml:space="preserve">on file in the hiring unit or </w:t>
      </w:r>
      <w:r w:rsidRPr="00622813">
        <w:rPr>
          <w:color w:val="000000" w:themeColor="text1"/>
          <w:sz w:val="22"/>
          <w:szCs w:val="22"/>
        </w:rPr>
        <w:t>entered int</w:t>
      </w:r>
      <w:r w:rsidR="000D096F" w:rsidRPr="00622813">
        <w:rPr>
          <w:color w:val="000000" w:themeColor="text1"/>
          <w:sz w:val="22"/>
          <w:szCs w:val="22"/>
        </w:rPr>
        <w:t>o the NAU faculty</w:t>
      </w:r>
      <w:r w:rsidRPr="00622813">
        <w:rPr>
          <w:color w:val="000000" w:themeColor="text1"/>
          <w:sz w:val="22"/>
          <w:szCs w:val="22"/>
        </w:rPr>
        <w:t xml:space="preserve"> data</w:t>
      </w:r>
      <w:r w:rsidR="00106D58" w:rsidRPr="00622813">
        <w:rPr>
          <w:color w:val="000000" w:themeColor="text1"/>
          <w:sz w:val="22"/>
          <w:szCs w:val="22"/>
        </w:rPr>
        <w:t>base</w:t>
      </w:r>
      <w:r w:rsidR="00D47E8E" w:rsidRPr="00622813">
        <w:rPr>
          <w:rStyle w:val="FootnoteReference"/>
          <w:color w:val="000000" w:themeColor="text1"/>
          <w:sz w:val="22"/>
          <w:szCs w:val="22"/>
        </w:rPr>
        <w:footnoteReference w:id="1"/>
      </w:r>
      <w:r w:rsidR="00106D58" w:rsidRPr="00622813">
        <w:rPr>
          <w:color w:val="000000" w:themeColor="text1"/>
          <w:sz w:val="22"/>
          <w:szCs w:val="22"/>
        </w:rPr>
        <w:t xml:space="preserve"> (FAAR) at the time of hire.</w:t>
      </w:r>
    </w:p>
    <w:p w14:paraId="4B28A469" w14:textId="77777777" w:rsidR="00336106" w:rsidRPr="00622813" w:rsidRDefault="00336106" w:rsidP="006023A0">
      <w:pPr>
        <w:rPr>
          <w:color w:val="000000" w:themeColor="text1"/>
          <w:sz w:val="22"/>
          <w:szCs w:val="22"/>
        </w:rPr>
      </w:pPr>
    </w:p>
    <w:p w14:paraId="00F422B6" w14:textId="0573FA6A" w:rsidR="00EB7B1D" w:rsidRPr="00622813" w:rsidRDefault="00234DF2" w:rsidP="00EB7B1D">
      <w:pPr>
        <w:pStyle w:val="ListParagraph"/>
        <w:numPr>
          <w:ilvl w:val="0"/>
          <w:numId w:val="10"/>
        </w:numPr>
        <w:rPr>
          <w:color w:val="000000" w:themeColor="text1"/>
          <w:sz w:val="22"/>
          <w:szCs w:val="22"/>
        </w:rPr>
      </w:pPr>
      <w:r w:rsidRPr="00622813">
        <w:rPr>
          <w:color w:val="000000" w:themeColor="text1"/>
          <w:sz w:val="22"/>
          <w:szCs w:val="22"/>
        </w:rPr>
        <w:t>Qualification</w:t>
      </w:r>
      <w:r w:rsidR="00EB7B1D" w:rsidRPr="00622813">
        <w:rPr>
          <w:color w:val="000000" w:themeColor="text1"/>
          <w:sz w:val="22"/>
          <w:szCs w:val="22"/>
        </w:rPr>
        <w:t xml:space="preserve"> for teaching a specific cours</w:t>
      </w:r>
      <w:r w:rsidR="00D47E8E" w:rsidRPr="00622813">
        <w:rPr>
          <w:color w:val="000000" w:themeColor="text1"/>
          <w:sz w:val="22"/>
          <w:szCs w:val="22"/>
        </w:rPr>
        <w:t>e</w:t>
      </w:r>
      <w:r w:rsidR="00D47E8E" w:rsidRPr="00622813">
        <w:rPr>
          <w:rStyle w:val="FootnoteReference"/>
          <w:color w:val="000000" w:themeColor="text1"/>
          <w:sz w:val="22"/>
          <w:szCs w:val="22"/>
        </w:rPr>
        <w:footnoteReference w:id="2"/>
      </w:r>
      <w:r w:rsidR="00EB7B1D" w:rsidRPr="00622813">
        <w:rPr>
          <w:color w:val="000000" w:themeColor="text1"/>
          <w:sz w:val="22"/>
          <w:szCs w:val="22"/>
        </w:rPr>
        <w:t xml:space="preserve"> </w:t>
      </w:r>
      <w:r w:rsidRPr="00622813">
        <w:rPr>
          <w:color w:val="000000" w:themeColor="text1"/>
          <w:sz w:val="22"/>
          <w:szCs w:val="22"/>
        </w:rPr>
        <w:t xml:space="preserve">is typically based on the faculty member’s credentials as evidenced </w:t>
      </w:r>
      <w:r w:rsidR="00EB7B1D" w:rsidRPr="00622813">
        <w:rPr>
          <w:color w:val="000000" w:themeColor="text1"/>
          <w:sz w:val="22"/>
          <w:szCs w:val="22"/>
        </w:rPr>
        <w:t xml:space="preserve">by a </w:t>
      </w:r>
      <w:r w:rsidR="00EB7B1D" w:rsidRPr="00622813">
        <w:rPr>
          <w:i/>
          <w:color w:val="000000" w:themeColor="text1"/>
          <w:sz w:val="22"/>
          <w:szCs w:val="22"/>
        </w:rPr>
        <w:t>transcript</w:t>
      </w:r>
      <w:r w:rsidR="00EB7B1D" w:rsidRPr="00622813">
        <w:rPr>
          <w:color w:val="000000" w:themeColor="text1"/>
          <w:sz w:val="22"/>
          <w:szCs w:val="22"/>
        </w:rPr>
        <w:t xml:space="preserve"> from an accredited university showing one of the following</w:t>
      </w:r>
      <w:r w:rsidR="001670F4" w:rsidRPr="00622813">
        <w:rPr>
          <w:color w:val="000000" w:themeColor="text1"/>
          <w:sz w:val="22"/>
          <w:szCs w:val="22"/>
        </w:rPr>
        <w:t xml:space="preserve"> (exceptions described in #2</w:t>
      </w:r>
      <w:r w:rsidR="00EB7B1D" w:rsidRPr="00622813">
        <w:rPr>
          <w:color w:val="000000" w:themeColor="text1"/>
          <w:sz w:val="22"/>
          <w:szCs w:val="22"/>
        </w:rPr>
        <w:t xml:space="preserve"> below):</w:t>
      </w:r>
    </w:p>
    <w:p w14:paraId="2912B003" w14:textId="77777777" w:rsidR="00EB7B1D" w:rsidRPr="00622813" w:rsidRDefault="00A06CB2" w:rsidP="00EB7B1D">
      <w:pPr>
        <w:pStyle w:val="ListParagraph"/>
        <w:numPr>
          <w:ilvl w:val="0"/>
          <w:numId w:val="9"/>
        </w:numPr>
        <w:rPr>
          <w:color w:val="000000" w:themeColor="text1"/>
          <w:sz w:val="22"/>
          <w:szCs w:val="22"/>
        </w:rPr>
      </w:pPr>
      <w:r w:rsidRPr="00622813">
        <w:rPr>
          <w:color w:val="000000" w:themeColor="text1"/>
          <w:sz w:val="22"/>
          <w:szCs w:val="22"/>
        </w:rPr>
        <w:t>Terminal degree in a relevant</w:t>
      </w:r>
      <w:r w:rsidR="00EB0FD3" w:rsidRPr="00622813">
        <w:rPr>
          <w:color w:val="000000" w:themeColor="text1"/>
          <w:sz w:val="22"/>
          <w:szCs w:val="22"/>
        </w:rPr>
        <w:t xml:space="preserve"> field of study.</w:t>
      </w:r>
    </w:p>
    <w:p w14:paraId="243354B1" w14:textId="61B9EF88" w:rsidR="00EB0FD3" w:rsidRPr="00622813" w:rsidRDefault="00050FB7" w:rsidP="00106D58">
      <w:pPr>
        <w:pStyle w:val="ListParagraph"/>
        <w:numPr>
          <w:ilvl w:val="0"/>
          <w:numId w:val="9"/>
        </w:numPr>
        <w:rPr>
          <w:color w:val="000000" w:themeColor="text1"/>
          <w:sz w:val="22"/>
          <w:szCs w:val="22"/>
        </w:rPr>
      </w:pPr>
      <w:r w:rsidRPr="00622813">
        <w:rPr>
          <w:color w:val="000000" w:themeColor="text1"/>
          <w:sz w:val="22"/>
          <w:szCs w:val="22"/>
        </w:rPr>
        <w:t xml:space="preserve">For courses at the baccalaureate level, </w:t>
      </w:r>
      <w:r w:rsidR="00EB0FD3" w:rsidRPr="00622813">
        <w:rPr>
          <w:color w:val="000000" w:themeColor="text1"/>
          <w:sz w:val="22"/>
          <w:szCs w:val="22"/>
        </w:rPr>
        <w:t xml:space="preserve">Master’s degree or higher </w:t>
      </w:r>
      <w:r w:rsidR="001D28B7" w:rsidRPr="00622813">
        <w:rPr>
          <w:color w:val="000000" w:themeColor="text1"/>
          <w:sz w:val="22"/>
          <w:szCs w:val="22"/>
        </w:rPr>
        <w:t>in a relevant field of study</w:t>
      </w:r>
      <w:r w:rsidR="00106D58" w:rsidRPr="00622813">
        <w:rPr>
          <w:color w:val="000000" w:themeColor="text1"/>
          <w:sz w:val="22"/>
          <w:szCs w:val="22"/>
        </w:rPr>
        <w:t xml:space="preserve"> OR a</w:t>
      </w:r>
      <w:r w:rsidRPr="00622813">
        <w:rPr>
          <w:color w:val="000000" w:themeColor="text1"/>
          <w:sz w:val="22"/>
          <w:szCs w:val="22"/>
        </w:rPr>
        <w:t xml:space="preserve"> </w:t>
      </w:r>
      <w:r w:rsidR="00B63936" w:rsidRPr="00622813">
        <w:rPr>
          <w:color w:val="000000" w:themeColor="text1"/>
          <w:sz w:val="22"/>
          <w:szCs w:val="22"/>
        </w:rPr>
        <w:t xml:space="preserve">Master’s degree and </w:t>
      </w:r>
      <w:r w:rsidR="00EB0FD3" w:rsidRPr="00622813">
        <w:rPr>
          <w:color w:val="000000" w:themeColor="text1"/>
          <w:sz w:val="22"/>
          <w:szCs w:val="22"/>
        </w:rPr>
        <w:t>at least 18 graduate credits in the content area of the course to be taught</w:t>
      </w:r>
      <w:r w:rsidR="00CC578E" w:rsidRPr="00622813">
        <w:rPr>
          <w:color w:val="000000" w:themeColor="text1"/>
          <w:sz w:val="22"/>
          <w:szCs w:val="22"/>
        </w:rPr>
        <w:t xml:space="preserve"> (e.g.,</w:t>
      </w:r>
      <w:r w:rsidR="00C3748A" w:rsidRPr="00622813">
        <w:rPr>
          <w:color w:val="000000" w:themeColor="text1"/>
          <w:sz w:val="22"/>
          <w:szCs w:val="22"/>
        </w:rPr>
        <w:t xml:space="preserve"> </w:t>
      </w:r>
      <w:r w:rsidR="00B1519F" w:rsidRPr="00622813">
        <w:rPr>
          <w:color w:val="000000" w:themeColor="text1"/>
          <w:sz w:val="22"/>
          <w:szCs w:val="22"/>
        </w:rPr>
        <w:t>to qualify to teach Biology courses,</w:t>
      </w:r>
      <w:r w:rsidR="00B1519F" w:rsidRPr="00622813" w:rsidDel="00B1519F">
        <w:rPr>
          <w:color w:val="000000" w:themeColor="text1"/>
          <w:sz w:val="22"/>
          <w:szCs w:val="22"/>
        </w:rPr>
        <w:t xml:space="preserve"> </w:t>
      </w:r>
      <w:r w:rsidR="00B1519F" w:rsidRPr="00622813">
        <w:rPr>
          <w:color w:val="000000" w:themeColor="text1"/>
          <w:sz w:val="22"/>
          <w:szCs w:val="22"/>
        </w:rPr>
        <w:t xml:space="preserve">an instructor with </w:t>
      </w:r>
      <w:r w:rsidR="00CC578E" w:rsidRPr="00622813">
        <w:rPr>
          <w:color w:val="000000" w:themeColor="text1"/>
          <w:sz w:val="22"/>
          <w:szCs w:val="22"/>
        </w:rPr>
        <w:t xml:space="preserve">a </w:t>
      </w:r>
      <w:r w:rsidR="00CC578E" w:rsidRPr="00622813">
        <w:rPr>
          <w:sz w:val="22"/>
          <w:szCs w:val="22"/>
        </w:rPr>
        <w:t>Master</w:t>
      </w:r>
      <w:r w:rsidR="00B1519F" w:rsidRPr="00622813">
        <w:rPr>
          <w:sz w:val="22"/>
          <w:szCs w:val="22"/>
        </w:rPr>
        <w:t>’s</w:t>
      </w:r>
      <w:r w:rsidR="00CC578E" w:rsidRPr="00622813">
        <w:rPr>
          <w:sz w:val="22"/>
          <w:szCs w:val="22"/>
        </w:rPr>
        <w:t xml:space="preserve"> of Education degree</w:t>
      </w:r>
      <w:r w:rsidR="00CC578E" w:rsidRPr="00622813">
        <w:rPr>
          <w:color w:val="000000" w:themeColor="text1"/>
          <w:sz w:val="22"/>
          <w:szCs w:val="22"/>
        </w:rPr>
        <w:t xml:space="preserve"> would need 18 credits of graduate level coursework in Biology.) </w:t>
      </w:r>
    </w:p>
    <w:p w14:paraId="6945D516" w14:textId="77777777" w:rsidR="00641702" w:rsidRPr="00622813" w:rsidRDefault="00641702" w:rsidP="00EB7B1D">
      <w:pPr>
        <w:rPr>
          <w:color w:val="000000" w:themeColor="text1"/>
          <w:sz w:val="22"/>
          <w:szCs w:val="22"/>
        </w:rPr>
      </w:pPr>
    </w:p>
    <w:p w14:paraId="3655C08F" w14:textId="5EDF197F" w:rsidR="006023A0" w:rsidRPr="00622813" w:rsidRDefault="006023A0" w:rsidP="00D7641F">
      <w:pPr>
        <w:pStyle w:val="ListParagraph"/>
        <w:numPr>
          <w:ilvl w:val="0"/>
          <w:numId w:val="10"/>
        </w:numPr>
        <w:rPr>
          <w:color w:val="000000" w:themeColor="text1"/>
          <w:sz w:val="22"/>
          <w:szCs w:val="22"/>
        </w:rPr>
      </w:pPr>
      <w:r w:rsidRPr="00622813">
        <w:rPr>
          <w:color w:val="000000" w:themeColor="text1"/>
          <w:sz w:val="22"/>
          <w:szCs w:val="22"/>
        </w:rPr>
        <w:t xml:space="preserve">In cases where the transcript does not </w:t>
      </w:r>
      <w:r w:rsidR="00A657C2" w:rsidRPr="00622813">
        <w:rPr>
          <w:color w:val="000000" w:themeColor="text1"/>
          <w:sz w:val="22"/>
          <w:szCs w:val="22"/>
        </w:rPr>
        <w:t>war</w:t>
      </w:r>
      <w:r w:rsidR="00EB7B1D" w:rsidRPr="00622813">
        <w:rPr>
          <w:color w:val="000000" w:themeColor="text1"/>
          <w:sz w:val="22"/>
          <w:szCs w:val="22"/>
        </w:rPr>
        <w:t>r</w:t>
      </w:r>
      <w:r w:rsidRPr="00622813">
        <w:rPr>
          <w:color w:val="000000" w:themeColor="text1"/>
          <w:sz w:val="22"/>
          <w:szCs w:val="22"/>
        </w:rPr>
        <w:t xml:space="preserve">ant a judgment of meeting the qualifications as outlined </w:t>
      </w:r>
      <w:r w:rsidR="008C77F2" w:rsidRPr="00622813">
        <w:rPr>
          <w:color w:val="000000" w:themeColor="text1"/>
          <w:sz w:val="22"/>
          <w:szCs w:val="22"/>
        </w:rPr>
        <w:t>in #1</w:t>
      </w:r>
      <w:r w:rsidRPr="00622813">
        <w:rPr>
          <w:color w:val="000000" w:themeColor="text1"/>
          <w:sz w:val="22"/>
          <w:szCs w:val="22"/>
        </w:rPr>
        <w:t xml:space="preserve">, faculty </w:t>
      </w:r>
      <w:r w:rsidR="00234DF2" w:rsidRPr="00622813">
        <w:rPr>
          <w:color w:val="000000" w:themeColor="text1"/>
          <w:sz w:val="22"/>
          <w:szCs w:val="22"/>
        </w:rPr>
        <w:t xml:space="preserve">can be determined to be qualified </w:t>
      </w:r>
      <w:r w:rsidRPr="00622813">
        <w:rPr>
          <w:color w:val="000000" w:themeColor="text1"/>
          <w:sz w:val="22"/>
          <w:szCs w:val="22"/>
        </w:rPr>
        <w:t>through tested experience, in accordance with the principles below:</w:t>
      </w:r>
    </w:p>
    <w:p w14:paraId="12C8FA87" w14:textId="3A3FCBAF" w:rsidR="006023A0" w:rsidRPr="00622813" w:rsidRDefault="006023A0" w:rsidP="009F4093">
      <w:pPr>
        <w:pStyle w:val="ListParagraph"/>
        <w:numPr>
          <w:ilvl w:val="1"/>
          <w:numId w:val="8"/>
        </w:numPr>
        <w:ind w:left="1080"/>
        <w:rPr>
          <w:color w:val="000000" w:themeColor="text1"/>
          <w:sz w:val="22"/>
          <w:szCs w:val="22"/>
        </w:rPr>
      </w:pPr>
      <w:r w:rsidRPr="00622813">
        <w:rPr>
          <w:color w:val="000000" w:themeColor="text1"/>
          <w:sz w:val="22"/>
          <w:szCs w:val="22"/>
        </w:rPr>
        <w:t>Experience must be directly related to the course to be taught (e.g., experience as a business manager would be acceptable for teaching a management course, but not an accounting course</w:t>
      </w:r>
      <w:r w:rsidR="00727459" w:rsidRPr="00622813">
        <w:rPr>
          <w:color w:val="000000" w:themeColor="text1"/>
          <w:sz w:val="22"/>
          <w:szCs w:val="22"/>
        </w:rPr>
        <w:t xml:space="preserve">; </w:t>
      </w:r>
      <w:r w:rsidR="00B1519F" w:rsidRPr="00622813">
        <w:rPr>
          <w:rFonts w:cs="Calibri"/>
          <w:color w:val="000000" w:themeColor="text1"/>
          <w:sz w:val="22"/>
          <w:szCs w:val="22"/>
        </w:rPr>
        <w:t>i</w:t>
      </w:r>
      <w:r w:rsidR="00C34940" w:rsidRPr="00622813">
        <w:rPr>
          <w:rFonts w:cs="Calibri"/>
          <w:color w:val="000000" w:themeColor="text1"/>
          <w:sz w:val="22"/>
          <w:szCs w:val="22"/>
        </w:rPr>
        <w:t>n certain circumstances, regulatory bodies have made provisions for faculty who have baccalaureate degrees, are licensed, and have and at least three years of experience to teach in th</w:t>
      </w:r>
      <w:r w:rsidR="007850ED" w:rsidRPr="00622813">
        <w:rPr>
          <w:rFonts w:cs="Calibri"/>
          <w:color w:val="000000" w:themeColor="text1"/>
          <w:sz w:val="22"/>
          <w:szCs w:val="22"/>
        </w:rPr>
        <w:t>eir clinical area of expertise</w:t>
      </w:r>
      <w:r w:rsidRPr="00622813">
        <w:rPr>
          <w:color w:val="000000" w:themeColor="text1"/>
          <w:sz w:val="22"/>
          <w:szCs w:val="22"/>
        </w:rPr>
        <w:t xml:space="preserve">).  </w:t>
      </w:r>
    </w:p>
    <w:p w14:paraId="433FD8F2" w14:textId="77777777" w:rsidR="006023A0" w:rsidRPr="00622813" w:rsidRDefault="006023A0" w:rsidP="009F4093">
      <w:pPr>
        <w:pStyle w:val="ListParagraph"/>
        <w:numPr>
          <w:ilvl w:val="1"/>
          <w:numId w:val="8"/>
        </w:numPr>
        <w:ind w:left="1080"/>
        <w:rPr>
          <w:color w:val="000000" w:themeColor="text1"/>
          <w:sz w:val="22"/>
          <w:szCs w:val="22"/>
        </w:rPr>
      </w:pPr>
      <w:r w:rsidRPr="00622813">
        <w:rPr>
          <w:color w:val="000000" w:themeColor="text1"/>
          <w:sz w:val="22"/>
          <w:szCs w:val="22"/>
        </w:rPr>
        <w:t xml:space="preserve">Experience must be of sufficient duration to justify instructional expertise.  This varies according to the complexity of the teaching assignment, but in general, a minimum of three years is required.  The hiring authority is responsible for documenting the duration in making the judgment. </w:t>
      </w:r>
    </w:p>
    <w:p w14:paraId="037295D5" w14:textId="4F2DBC82" w:rsidR="006023A0" w:rsidRPr="00622813" w:rsidRDefault="001F5714" w:rsidP="007850ED">
      <w:pPr>
        <w:pStyle w:val="ListParagraph"/>
        <w:numPr>
          <w:ilvl w:val="1"/>
          <w:numId w:val="8"/>
        </w:numPr>
        <w:ind w:left="1080"/>
        <w:rPr>
          <w:color w:val="000000" w:themeColor="text1"/>
          <w:sz w:val="22"/>
          <w:szCs w:val="22"/>
        </w:rPr>
      </w:pPr>
      <w:r w:rsidRPr="00622813">
        <w:rPr>
          <w:color w:val="000000" w:themeColor="text1"/>
          <w:sz w:val="22"/>
          <w:szCs w:val="22"/>
        </w:rPr>
        <w:lastRenderedPageBreak/>
        <w:t>In cases where faculty were hired at NAU prior to 2010, the documented success of teaching a content area for five or more years will constitute demonstration of qualification to teach.</w:t>
      </w:r>
      <w:r w:rsidR="006023A0" w:rsidRPr="00622813">
        <w:rPr>
          <w:color w:val="000000" w:themeColor="text1"/>
          <w:sz w:val="22"/>
          <w:szCs w:val="22"/>
        </w:rPr>
        <w:t xml:space="preserve"> </w:t>
      </w:r>
    </w:p>
    <w:p w14:paraId="5326BC98" w14:textId="77777777" w:rsidR="00BF2D2F" w:rsidRPr="00622813" w:rsidRDefault="00BF2D2F" w:rsidP="0042539B">
      <w:pPr>
        <w:rPr>
          <w:color w:val="000000" w:themeColor="text1"/>
          <w:sz w:val="22"/>
          <w:szCs w:val="22"/>
        </w:rPr>
      </w:pPr>
    </w:p>
    <w:p w14:paraId="46009EB6" w14:textId="60C65509" w:rsidR="00EA1AD6" w:rsidRPr="00622813" w:rsidRDefault="00EA1AD6" w:rsidP="00EA1AD6">
      <w:pPr>
        <w:pStyle w:val="ListParagraph"/>
        <w:numPr>
          <w:ilvl w:val="0"/>
          <w:numId w:val="10"/>
        </w:numPr>
        <w:rPr>
          <w:color w:val="000000" w:themeColor="text1"/>
          <w:sz w:val="22"/>
          <w:szCs w:val="22"/>
        </w:rPr>
      </w:pPr>
      <w:r w:rsidRPr="00622813">
        <w:rPr>
          <w:color w:val="000000" w:themeColor="text1"/>
          <w:sz w:val="22"/>
          <w:szCs w:val="22"/>
        </w:rPr>
        <w:t>For student instructors</w:t>
      </w:r>
      <w:r w:rsidR="00952BE7" w:rsidRPr="00622813">
        <w:rPr>
          <w:color w:val="000000" w:themeColor="text1"/>
          <w:sz w:val="22"/>
          <w:szCs w:val="22"/>
        </w:rPr>
        <w:t xml:space="preserve"> and lab instructors</w:t>
      </w:r>
      <w:r w:rsidRPr="00622813">
        <w:rPr>
          <w:color w:val="000000" w:themeColor="text1"/>
          <w:sz w:val="22"/>
          <w:szCs w:val="22"/>
        </w:rPr>
        <w:t xml:space="preserve">, </w:t>
      </w:r>
      <w:r w:rsidR="0082021E" w:rsidRPr="00622813">
        <w:rPr>
          <w:color w:val="000000" w:themeColor="text1"/>
          <w:sz w:val="22"/>
          <w:szCs w:val="22"/>
        </w:rPr>
        <w:t xml:space="preserve">one of </w:t>
      </w:r>
      <w:r w:rsidRPr="00622813">
        <w:rPr>
          <w:color w:val="000000" w:themeColor="text1"/>
          <w:sz w:val="22"/>
          <w:szCs w:val="22"/>
        </w:rPr>
        <w:t>the following options may be used to document qualifications:</w:t>
      </w:r>
    </w:p>
    <w:p w14:paraId="20D58DD3" w14:textId="77777777" w:rsidR="00EA1AD6" w:rsidRPr="00622813" w:rsidRDefault="00EA1AD6" w:rsidP="009F4093">
      <w:pPr>
        <w:pStyle w:val="ListParagraph"/>
        <w:numPr>
          <w:ilvl w:val="0"/>
          <w:numId w:val="12"/>
        </w:numPr>
        <w:ind w:left="1080"/>
        <w:rPr>
          <w:color w:val="000000" w:themeColor="text1"/>
          <w:sz w:val="22"/>
          <w:szCs w:val="22"/>
        </w:rPr>
      </w:pPr>
      <w:r w:rsidRPr="00622813">
        <w:rPr>
          <w:color w:val="000000" w:themeColor="text1"/>
          <w:sz w:val="22"/>
          <w:szCs w:val="22"/>
        </w:rPr>
        <w:t>Master’s degree in a relevant content area;</w:t>
      </w:r>
    </w:p>
    <w:p w14:paraId="3BAEAC19" w14:textId="77777777" w:rsidR="00EA1AD6" w:rsidRPr="00622813" w:rsidRDefault="00EA1AD6" w:rsidP="009F4093">
      <w:pPr>
        <w:pStyle w:val="ListParagraph"/>
        <w:numPr>
          <w:ilvl w:val="0"/>
          <w:numId w:val="12"/>
        </w:numPr>
        <w:ind w:left="1080"/>
        <w:rPr>
          <w:color w:val="000000" w:themeColor="text1"/>
          <w:sz w:val="22"/>
          <w:szCs w:val="22"/>
        </w:rPr>
      </w:pPr>
      <w:r w:rsidRPr="00622813">
        <w:rPr>
          <w:color w:val="000000" w:themeColor="text1"/>
          <w:sz w:val="22"/>
          <w:szCs w:val="22"/>
        </w:rPr>
        <w:t>18 graduate credits in a relevant content area;</w:t>
      </w:r>
    </w:p>
    <w:p w14:paraId="473829FD" w14:textId="44C6CBE6" w:rsidR="00AB385F" w:rsidRPr="00622813" w:rsidRDefault="00AB385F" w:rsidP="009F4093">
      <w:pPr>
        <w:pStyle w:val="ListParagraph"/>
        <w:numPr>
          <w:ilvl w:val="0"/>
          <w:numId w:val="12"/>
        </w:numPr>
        <w:ind w:left="1080"/>
        <w:rPr>
          <w:color w:val="000000" w:themeColor="text1"/>
          <w:sz w:val="22"/>
          <w:szCs w:val="22"/>
        </w:rPr>
      </w:pPr>
      <w:r w:rsidRPr="00622813">
        <w:rPr>
          <w:color w:val="000000" w:themeColor="text1"/>
          <w:sz w:val="22"/>
          <w:szCs w:val="22"/>
        </w:rPr>
        <w:t xml:space="preserve">For introductory lab courses (e.g., Chemistry Fundamental Lab), </w:t>
      </w:r>
      <w:proofErr w:type="spellStart"/>
      <w:r w:rsidR="00A60C1A" w:rsidRPr="00622813">
        <w:rPr>
          <w:color w:val="000000" w:themeColor="text1"/>
          <w:sz w:val="22"/>
          <w:szCs w:val="22"/>
        </w:rPr>
        <w:t>lab</w:t>
      </w:r>
      <w:proofErr w:type="spellEnd"/>
      <w:r w:rsidR="00A60C1A" w:rsidRPr="00622813">
        <w:rPr>
          <w:color w:val="000000" w:themeColor="text1"/>
          <w:sz w:val="22"/>
          <w:szCs w:val="22"/>
        </w:rPr>
        <w:t xml:space="preserve"> </w:t>
      </w:r>
      <w:r w:rsidRPr="00622813">
        <w:rPr>
          <w:color w:val="000000" w:themeColor="text1"/>
          <w:sz w:val="22"/>
          <w:szCs w:val="22"/>
        </w:rPr>
        <w:t xml:space="preserve">instructors </w:t>
      </w:r>
      <w:r w:rsidR="00A552EF" w:rsidRPr="00622813">
        <w:rPr>
          <w:color w:val="000000" w:themeColor="text1"/>
          <w:sz w:val="22"/>
          <w:szCs w:val="22"/>
        </w:rPr>
        <w:t xml:space="preserve">must have a baccalaureate degree and </w:t>
      </w:r>
      <w:r w:rsidR="00A60C1A" w:rsidRPr="00622813">
        <w:rPr>
          <w:color w:val="000000" w:themeColor="text1"/>
          <w:sz w:val="22"/>
          <w:szCs w:val="22"/>
        </w:rPr>
        <w:t>demonstrate</w:t>
      </w:r>
      <w:r w:rsidR="00A552EF" w:rsidRPr="00622813">
        <w:rPr>
          <w:color w:val="000000" w:themeColor="text1"/>
          <w:sz w:val="22"/>
          <w:szCs w:val="22"/>
        </w:rPr>
        <w:t>d</w:t>
      </w:r>
      <w:r w:rsidR="00A60C1A" w:rsidRPr="00622813">
        <w:rPr>
          <w:color w:val="000000" w:themeColor="text1"/>
          <w:sz w:val="22"/>
          <w:szCs w:val="22"/>
        </w:rPr>
        <w:t xml:space="preserve"> proficiency in the relevant discipline, safety protocols, and lab techniques</w:t>
      </w:r>
      <w:r w:rsidRPr="00622813">
        <w:rPr>
          <w:color w:val="000000" w:themeColor="text1"/>
          <w:sz w:val="22"/>
          <w:szCs w:val="22"/>
        </w:rPr>
        <w:t>;</w:t>
      </w:r>
    </w:p>
    <w:p w14:paraId="370D09C2" w14:textId="77777777" w:rsidR="00EA1AD6" w:rsidRPr="00622813" w:rsidRDefault="00EA1AD6" w:rsidP="009F4093">
      <w:pPr>
        <w:pStyle w:val="ListParagraph"/>
        <w:numPr>
          <w:ilvl w:val="0"/>
          <w:numId w:val="12"/>
        </w:numPr>
        <w:ind w:left="1080"/>
        <w:rPr>
          <w:color w:val="000000" w:themeColor="text1"/>
          <w:sz w:val="22"/>
          <w:szCs w:val="22"/>
        </w:rPr>
      </w:pPr>
      <w:r w:rsidRPr="00622813">
        <w:rPr>
          <w:color w:val="000000" w:themeColor="text1"/>
          <w:sz w:val="22"/>
          <w:szCs w:val="22"/>
        </w:rPr>
        <w:t>For introductory courses (e.g., freshmen writing, introductory mathematics), status as a current graduate student with supervision by qualified faculty;</w:t>
      </w:r>
    </w:p>
    <w:p w14:paraId="763A932C" w14:textId="005D6720" w:rsidR="0082021E" w:rsidRPr="00622813" w:rsidRDefault="00EA1AD6" w:rsidP="009F4093">
      <w:pPr>
        <w:pStyle w:val="ListParagraph"/>
        <w:numPr>
          <w:ilvl w:val="0"/>
          <w:numId w:val="12"/>
        </w:numPr>
        <w:ind w:left="1080"/>
        <w:rPr>
          <w:color w:val="000000" w:themeColor="text1"/>
          <w:sz w:val="22"/>
          <w:szCs w:val="22"/>
        </w:rPr>
      </w:pPr>
      <w:r w:rsidRPr="00622813">
        <w:rPr>
          <w:color w:val="000000" w:themeColor="text1"/>
          <w:sz w:val="22"/>
          <w:szCs w:val="22"/>
        </w:rPr>
        <w:t xml:space="preserve">For academic success courses (e.g., NAU100) intended for first-year students, a trained undergraduate student under the close supervision of qualified faculty (note: the faculty member must be the instructor of record); </w:t>
      </w:r>
    </w:p>
    <w:p w14:paraId="56267AD0" w14:textId="7AA3D97A" w:rsidR="0042539B" w:rsidRPr="00622813" w:rsidRDefault="0042539B" w:rsidP="009F4093">
      <w:pPr>
        <w:pStyle w:val="ListParagraph"/>
        <w:numPr>
          <w:ilvl w:val="0"/>
          <w:numId w:val="12"/>
        </w:numPr>
        <w:ind w:left="1080"/>
        <w:rPr>
          <w:color w:val="000000" w:themeColor="text1"/>
          <w:sz w:val="22"/>
          <w:szCs w:val="22"/>
        </w:rPr>
      </w:pPr>
      <w:r w:rsidRPr="00622813">
        <w:rPr>
          <w:color w:val="000000" w:themeColor="text1"/>
          <w:sz w:val="22"/>
          <w:szCs w:val="22"/>
        </w:rPr>
        <w:t>T</w:t>
      </w:r>
      <w:r w:rsidR="00E228E7" w:rsidRPr="00622813">
        <w:rPr>
          <w:color w:val="000000" w:themeColor="text1"/>
          <w:sz w:val="22"/>
          <w:szCs w:val="22"/>
        </w:rPr>
        <w:t>rained T</w:t>
      </w:r>
      <w:r w:rsidRPr="00622813">
        <w:rPr>
          <w:color w:val="000000" w:themeColor="text1"/>
          <w:sz w:val="22"/>
          <w:szCs w:val="22"/>
        </w:rPr>
        <w:t xml:space="preserve">eaching Assistants </w:t>
      </w:r>
      <w:r w:rsidR="005B47D8" w:rsidRPr="00622813">
        <w:rPr>
          <w:color w:val="000000" w:themeColor="text1"/>
          <w:sz w:val="22"/>
          <w:szCs w:val="22"/>
        </w:rPr>
        <w:t xml:space="preserve">(undergraduate or graduate) </w:t>
      </w:r>
      <w:r w:rsidR="00E228E7" w:rsidRPr="00622813">
        <w:rPr>
          <w:color w:val="000000" w:themeColor="text1"/>
          <w:sz w:val="22"/>
          <w:szCs w:val="22"/>
        </w:rPr>
        <w:t xml:space="preserve">or Peer Facilitators </w:t>
      </w:r>
      <w:r w:rsidRPr="00622813">
        <w:rPr>
          <w:color w:val="000000" w:themeColor="text1"/>
          <w:sz w:val="22"/>
          <w:szCs w:val="22"/>
        </w:rPr>
        <w:t>under the close supervision of qualified faculty (note: the faculty member must be the instructor of record)</w:t>
      </w:r>
      <w:r w:rsidR="005B47D8" w:rsidRPr="00622813">
        <w:rPr>
          <w:color w:val="000000" w:themeColor="text1"/>
          <w:sz w:val="22"/>
          <w:szCs w:val="22"/>
        </w:rPr>
        <w:t>; OR</w:t>
      </w:r>
    </w:p>
    <w:p w14:paraId="70E18587" w14:textId="2AF2CFEE" w:rsidR="00BF2D2F" w:rsidRPr="00622813" w:rsidRDefault="00EA1AD6" w:rsidP="00CC578E">
      <w:pPr>
        <w:pStyle w:val="ListParagraph"/>
        <w:numPr>
          <w:ilvl w:val="0"/>
          <w:numId w:val="12"/>
        </w:numPr>
        <w:ind w:left="1080"/>
        <w:rPr>
          <w:color w:val="000000" w:themeColor="text1"/>
          <w:sz w:val="22"/>
          <w:szCs w:val="22"/>
        </w:rPr>
      </w:pPr>
      <w:r w:rsidRPr="00622813">
        <w:rPr>
          <w:color w:val="000000" w:themeColor="text1"/>
          <w:sz w:val="22"/>
          <w:szCs w:val="22"/>
        </w:rPr>
        <w:t xml:space="preserve">For recreation courses (e.g., </w:t>
      </w:r>
      <w:r w:rsidR="00553283" w:rsidRPr="00622813">
        <w:rPr>
          <w:color w:val="000000" w:themeColor="text1"/>
          <w:sz w:val="22"/>
          <w:szCs w:val="22"/>
        </w:rPr>
        <w:t>FIT</w:t>
      </w:r>
      <w:r w:rsidRPr="00622813">
        <w:rPr>
          <w:color w:val="000000" w:themeColor="text1"/>
          <w:sz w:val="22"/>
          <w:szCs w:val="22"/>
        </w:rPr>
        <w:t xml:space="preserve"> prefixes), </w:t>
      </w:r>
      <w:r w:rsidR="0082021E" w:rsidRPr="00622813">
        <w:rPr>
          <w:color w:val="000000" w:themeColor="text1"/>
          <w:sz w:val="22"/>
          <w:szCs w:val="22"/>
        </w:rPr>
        <w:t>expertise and/or relevant certification in the recreation area must be documented.</w:t>
      </w:r>
    </w:p>
    <w:p w14:paraId="3EC79EEA" w14:textId="77777777" w:rsidR="00A15A15" w:rsidRPr="00622813" w:rsidRDefault="00A15A15" w:rsidP="00A15A15">
      <w:pPr>
        <w:pStyle w:val="ListParagraph"/>
        <w:ind w:left="1080"/>
        <w:rPr>
          <w:color w:val="000000" w:themeColor="text1"/>
          <w:sz w:val="22"/>
          <w:szCs w:val="22"/>
        </w:rPr>
      </w:pPr>
    </w:p>
    <w:p w14:paraId="51EC0B91" w14:textId="4338A5B5" w:rsidR="00A15A15" w:rsidRPr="00622813" w:rsidRDefault="00A15A15" w:rsidP="00A15A15">
      <w:pPr>
        <w:pStyle w:val="ListParagraph"/>
        <w:numPr>
          <w:ilvl w:val="0"/>
          <w:numId w:val="10"/>
        </w:numPr>
        <w:rPr>
          <w:sz w:val="22"/>
          <w:szCs w:val="22"/>
        </w:rPr>
      </w:pPr>
      <w:r w:rsidRPr="00622813">
        <w:rPr>
          <w:sz w:val="22"/>
          <w:szCs w:val="22"/>
        </w:rPr>
        <w:t>To be qualified to serve as dissertation chair in doctoral programs, an individual must be a full-time</w:t>
      </w:r>
      <w:r w:rsidR="00283EDF" w:rsidRPr="00622813">
        <w:rPr>
          <w:rStyle w:val="FootnoteReference"/>
          <w:sz w:val="22"/>
          <w:szCs w:val="22"/>
        </w:rPr>
        <w:footnoteReference w:id="3"/>
      </w:r>
      <w:r w:rsidRPr="00622813">
        <w:rPr>
          <w:sz w:val="22"/>
          <w:szCs w:val="22"/>
        </w:rPr>
        <w:t xml:space="preserve"> faculty member at NAU and must have both a terminal degree in the area of study and strong record of achievement in their research, scholarship, or creative activities appropriate to the program and degree offered. </w:t>
      </w:r>
      <w:r w:rsidR="001A44A8" w:rsidRPr="00622813">
        <w:rPr>
          <w:color w:val="000000" w:themeColor="text1"/>
          <w:sz w:val="22"/>
          <w:szCs w:val="22"/>
        </w:rPr>
        <w:t xml:space="preserve">At least one of the following </w:t>
      </w:r>
      <w:r w:rsidR="001A44A8" w:rsidRPr="00622813">
        <w:rPr>
          <w:sz w:val="22"/>
          <w:szCs w:val="22"/>
        </w:rPr>
        <w:t>options</w:t>
      </w:r>
      <w:r w:rsidR="00622813" w:rsidRPr="00622813">
        <w:rPr>
          <w:rStyle w:val="FootnoteReference"/>
          <w:sz w:val="22"/>
          <w:szCs w:val="22"/>
        </w:rPr>
        <w:footnoteReference w:id="4"/>
      </w:r>
      <w:r w:rsidR="001A44A8" w:rsidRPr="00622813">
        <w:rPr>
          <w:sz w:val="22"/>
          <w:szCs w:val="22"/>
        </w:rPr>
        <w:t xml:space="preserve"> </w:t>
      </w:r>
      <w:r w:rsidR="001A44A8" w:rsidRPr="00622813">
        <w:rPr>
          <w:color w:val="000000" w:themeColor="text1"/>
          <w:sz w:val="22"/>
          <w:szCs w:val="22"/>
        </w:rPr>
        <w:t>may be used to document qualifications</w:t>
      </w:r>
      <w:r w:rsidRPr="00622813">
        <w:rPr>
          <w:sz w:val="22"/>
          <w:szCs w:val="22"/>
        </w:rPr>
        <w:t>:</w:t>
      </w:r>
    </w:p>
    <w:p w14:paraId="67849071" w14:textId="33AE5B09" w:rsidR="00A15A15" w:rsidRPr="00622813" w:rsidRDefault="00A15A15" w:rsidP="00A15A15">
      <w:pPr>
        <w:pStyle w:val="ListParagraph"/>
        <w:numPr>
          <w:ilvl w:val="0"/>
          <w:numId w:val="11"/>
        </w:numPr>
        <w:ind w:left="1080"/>
        <w:rPr>
          <w:sz w:val="22"/>
          <w:szCs w:val="22"/>
        </w:rPr>
      </w:pPr>
      <w:r w:rsidRPr="00622813">
        <w:rPr>
          <w:sz w:val="22"/>
          <w:szCs w:val="22"/>
        </w:rPr>
        <w:t>A proven publication record (peer-reviewed articles, book chapters or books) of research and/or scholarly work or the equivalent significant creative activities withi</w:t>
      </w:r>
      <w:r w:rsidR="00C3183F" w:rsidRPr="00622813">
        <w:rPr>
          <w:sz w:val="22"/>
          <w:szCs w:val="22"/>
        </w:rPr>
        <w:t>n the previous five-year period</w:t>
      </w:r>
      <w:r w:rsidR="001A44A8" w:rsidRPr="00622813">
        <w:rPr>
          <w:sz w:val="22"/>
          <w:szCs w:val="22"/>
        </w:rPr>
        <w:t>;</w:t>
      </w:r>
    </w:p>
    <w:p w14:paraId="63A625ED" w14:textId="3DD172FB" w:rsidR="00A15A15" w:rsidRPr="00622813" w:rsidRDefault="00A15A15" w:rsidP="00A15A15">
      <w:pPr>
        <w:pStyle w:val="ListParagraph"/>
        <w:numPr>
          <w:ilvl w:val="0"/>
          <w:numId w:val="11"/>
        </w:numPr>
        <w:ind w:left="1080"/>
        <w:rPr>
          <w:sz w:val="22"/>
          <w:szCs w:val="22"/>
        </w:rPr>
      </w:pPr>
      <w:r w:rsidRPr="00622813">
        <w:rPr>
          <w:sz w:val="22"/>
          <w:szCs w:val="22"/>
        </w:rPr>
        <w:t>Secured, significant funding (i.e., at least equal to the annual salary of the faculty member) from competitive, external research grants within the previous five-year period</w:t>
      </w:r>
      <w:r w:rsidR="001A44A8" w:rsidRPr="00622813">
        <w:rPr>
          <w:sz w:val="22"/>
          <w:szCs w:val="22"/>
        </w:rPr>
        <w:t>;</w:t>
      </w:r>
    </w:p>
    <w:p w14:paraId="7809DDFF" w14:textId="3275B72E" w:rsidR="00A15A15" w:rsidRPr="00622813" w:rsidRDefault="00A15A15" w:rsidP="00A15A15">
      <w:pPr>
        <w:pStyle w:val="ListParagraph"/>
        <w:numPr>
          <w:ilvl w:val="0"/>
          <w:numId w:val="11"/>
        </w:numPr>
        <w:ind w:left="1080"/>
        <w:rPr>
          <w:sz w:val="22"/>
          <w:szCs w:val="22"/>
        </w:rPr>
      </w:pPr>
      <w:r w:rsidRPr="00622813">
        <w:rPr>
          <w:sz w:val="22"/>
          <w:szCs w:val="22"/>
        </w:rPr>
        <w:t>Leadership roles and/or significant, recognized engagement in national discipline-based programs for doctoral education</w:t>
      </w:r>
      <w:r w:rsidR="001A44A8" w:rsidRPr="00622813">
        <w:rPr>
          <w:sz w:val="22"/>
          <w:szCs w:val="22"/>
        </w:rPr>
        <w:t>;</w:t>
      </w:r>
    </w:p>
    <w:p w14:paraId="2D9664DE" w14:textId="6E96AD11" w:rsidR="00A15A15" w:rsidRPr="00622813" w:rsidRDefault="00A15A15" w:rsidP="00A15A15">
      <w:pPr>
        <w:pStyle w:val="ListParagraph"/>
        <w:numPr>
          <w:ilvl w:val="0"/>
          <w:numId w:val="11"/>
        </w:numPr>
        <w:ind w:left="1080"/>
        <w:rPr>
          <w:sz w:val="22"/>
          <w:szCs w:val="22"/>
        </w:rPr>
      </w:pPr>
      <w:r w:rsidRPr="00622813">
        <w:rPr>
          <w:sz w:val="22"/>
          <w:szCs w:val="22"/>
        </w:rPr>
        <w:t>Documented recognition as a contributing research reviewer in a relevant disciplinary association appropriate to</w:t>
      </w:r>
      <w:r w:rsidR="001A44A8" w:rsidRPr="00622813">
        <w:rPr>
          <w:sz w:val="22"/>
          <w:szCs w:val="22"/>
        </w:rPr>
        <w:t xml:space="preserve"> the program and degree offered; OR</w:t>
      </w:r>
    </w:p>
    <w:p w14:paraId="53BD82C8" w14:textId="084C43FC" w:rsidR="00A15A15" w:rsidRPr="00622813" w:rsidRDefault="00A15A15" w:rsidP="00A15A15">
      <w:pPr>
        <w:pStyle w:val="ListParagraph"/>
        <w:numPr>
          <w:ilvl w:val="0"/>
          <w:numId w:val="11"/>
        </w:numPr>
        <w:ind w:left="1080"/>
        <w:rPr>
          <w:sz w:val="22"/>
          <w:szCs w:val="22"/>
        </w:rPr>
      </w:pPr>
      <w:r w:rsidRPr="00622813">
        <w:rPr>
          <w:sz w:val="22"/>
          <w:szCs w:val="22"/>
        </w:rPr>
        <w:t>Long-term service (i.e., 10 or more years) as a successful doctoral advisor. (Note: this is to address the person who has re-focused a career on mentoring doctoral students as opposed to original and significant research, scholarship, or creative activities.)</w:t>
      </w:r>
    </w:p>
    <w:sectPr w:rsidR="00A15A15" w:rsidRPr="00622813" w:rsidSect="007671C7">
      <w:headerReference w:type="even" r:id="rId7"/>
      <w:headerReference w:type="default" r:id="rId8"/>
      <w:headerReference w:type="first" r:id="rId9"/>
      <w:pgSz w:w="12240" w:h="15840"/>
      <w:pgMar w:top="1296" w:right="1296" w:bottom="1296" w:left="129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EBF1" w14:textId="77777777" w:rsidR="00E930EB" w:rsidRDefault="00E930EB" w:rsidP="008F74EA">
      <w:r>
        <w:separator/>
      </w:r>
    </w:p>
  </w:endnote>
  <w:endnote w:type="continuationSeparator" w:id="0">
    <w:p w14:paraId="531296C0" w14:textId="77777777" w:rsidR="00E930EB" w:rsidRDefault="00E930EB" w:rsidP="008F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dobe Garamond Pro">
    <w:altName w:val="Adobe Garamond Pr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E2962" w14:textId="77777777" w:rsidR="00E930EB" w:rsidRDefault="00E930EB" w:rsidP="008F74EA">
      <w:r>
        <w:separator/>
      </w:r>
    </w:p>
  </w:footnote>
  <w:footnote w:type="continuationSeparator" w:id="0">
    <w:p w14:paraId="14ED4F35" w14:textId="77777777" w:rsidR="00E930EB" w:rsidRDefault="00E930EB" w:rsidP="008F74EA">
      <w:r>
        <w:continuationSeparator/>
      </w:r>
    </w:p>
  </w:footnote>
  <w:footnote w:id="1">
    <w:p w14:paraId="2BB96045" w14:textId="039C7686" w:rsidR="00D47E8E" w:rsidRPr="007850ED" w:rsidRDefault="00D47E8E" w:rsidP="00D47E8E">
      <w:pPr>
        <w:rPr>
          <w:sz w:val="22"/>
          <w:szCs w:val="22"/>
        </w:rPr>
      </w:pPr>
      <w:r>
        <w:rPr>
          <w:rStyle w:val="FootnoteReference"/>
        </w:rPr>
        <w:footnoteRef/>
      </w:r>
      <w:r>
        <w:t xml:space="preserve"> </w:t>
      </w:r>
      <w:r w:rsidRPr="007850ED">
        <w:rPr>
          <w:sz w:val="22"/>
          <w:szCs w:val="22"/>
        </w:rPr>
        <w:t xml:space="preserve">Transcripts, credit verification, and tested experience </w:t>
      </w:r>
      <w:r w:rsidR="007850ED" w:rsidRPr="007850ED">
        <w:rPr>
          <w:sz w:val="22"/>
          <w:szCs w:val="22"/>
        </w:rPr>
        <w:t xml:space="preserve">documentation, such as </w:t>
      </w:r>
      <w:r w:rsidR="007850ED" w:rsidRPr="007850ED">
        <w:rPr>
          <w:color w:val="000000" w:themeColor="text1"/>
          <w:sz w:val="22"/>
          <w:szCs w:val="22"/>
        </w:rPr>
        <w:t xml:space="preserve">work records, CV, letters of confirmation, </w:t>
      </w:r>
      <w:r w:rsidRPr="007850ED">
        <w:rPr>
          <w:sz w:val="22"/>
          <w:szCs w:val="22"/>
        </w:rPr>
        <w:t>can be logged in the FAAR system (“faculty roster” available under the “regional accreditation” tab).</w:t>
      </w:r>
    </w:p>
    <w:p w14:paraId="7B8DBE4F" w14:textId="0BA09D26" w:rsidR="00D47E8E" w:rsidRDefault="00D47E8E">
      <w:pPr>
        <w:pStyle w:val="FootnoteText"/>
      </w:pPr>
    </w:p>
  </w:footnote>
  <w:footnote w:id="2">
    <w:p w14:paraId="3C206EE5" w14:textId="77777777" w:rsidR="00D47E8E" w:rsidRPr="00050FB7" w:rsidRDefault="00D47E8E" w:rsidP="00D47E8E">
      <w:pPr>
        <w:rPr>
          <w:sz w:val="22"/>
          <w:szCs w:val="22"/>
        </w:rPr>
      </w:pPr>
      <w:r>
        <w:rPr>
          <w:rStyle w:val="FootnoteReference"/>
        </w:rPr>
        <w:footnoteRef/>
      </w:r>
      <w:r>
        <w:t xml:space="preserve"> </w:t>
      </w:r>
      <w:r w:rsidRPr="00050FB7">
        <w:rPr>
          <w:sz w:val="22"/>
          <w:szCs w:val="22"/>
        </w:rPr>
        <w:t>In the case of cross-listed courses (i.e., two different prefixes), qualification to teach either prefix is acceptable evidence of faculty qualification.</w:t>
      </w:r>
    </w:p>
    <w:p w14:paraId="4D5A7219" w14:textId="78BB14F8" w:rsidR="00D47E8E" w:rsidRDefault="00D47E8E">
      <w:pPr>
        <w:pStyle w:val="FootnoteText"/>
      </w:pPr>
    </w:p>
  </w:footnote>
  <w:footnote w:id="3">
    <w:p w14:paraId="253B1022" w14:textId="487F2A0B" w:rsidR="00242005" w:rsidRPr="00622813" w:rsidRDefault="00283EDF" w:rsidP="00242005">
      <w:pPr>
        <w:pStyle w:val="p1"/>
        <w:rPr>
          <w:rFonts w:asciiTheme="minorHAnsi" w:hAnsiTheme="minorHAnsi" w:cs="Times New Roman"/>
          <w:sz w:val="22"/>
          <w:szCs w:val="22"/>
        </w:rPr>
      </w:pPr>
      <w:r>
        <w:rPr>
          <w:rStyle w:val="FootnoteReference"/>
        </w:rPr>
        <w:footnoteRef/>
      </w:r>
      <w:r>
        <w:t xml:space="preserve"> </w:t>
      </w:r>
      <w:r w:rsidR="00242005">
        <w:rPr>
          <w:rStyle w:val="apple-converted-space"/>
          <w:rFonts w:cs="Times New Roman"/>
        </w:rPr>
        <w:t> </w:t>
      </w:r>
      <w:r w:rsidR="00242005" w:rsidRPr="00622813">
        <w:rPr>
          <w:rStyle w:val="apple-converted-space"/>
          <w:rFonts w:asciiTheme="minorHAnsi" w:hAnsiTheme="minorHAnsi" w:cs="Times New Roman"/>
          <w:sz w:val="22"/>
          <w:szCs w:val="22"/>
        </w:rPr>
        <w:t xml:space="preserve">Per Conditions of Faculty Service, the definition of </w:t>
      </w:r>
      <w:r w:rsidR="00242005" w:rsidRPr="00622813">
        <w:rPr>
          <w:rFonts w:asciiTheme="minorHAnsi" w:hAnsiTheme="minorHAnsi" w:cs="Times New Roman"/>
          <w:sz w:val="22"/>
          <w:szCs w:val="22"/>
        </w:rPr>
        <w:t>full-time faculty is “Faculty employed in a 50% or greater capacity for an academic or fiscal</w:t>
      </w:r>
      <w:r w:rsidR="00622813">
        <w:rPr>
          <w:rFonts w:asciiTheme="minorHAnsi" w:hAnsiTheme="minorHAnsi" w:cs="Times New Roman"/>
          <w:sz w:val="22"/>
          <w:szCs w:val="22"/>
        </w:rPr>
        <w:t xml:space="preserve"> </w:t>
      </w:r>
      <w:r w:rsidR="00242005" w:rsidRPr="00622813">
        <w:rPr>
          <w:rFonts w:asciiTheme="minorHAnsi" w:hAnsiTheme="minorHAnsi" w:cs="Times New Roman"/>
          <w:sz w:val="22"/>
          <w:szCs w:val="22"/>
        </w:rPr>
        <w:t>year period.”</w:t>
      </w:r>
    </w:p>
    <w:p w14:paraId="19C583B0" w14:textId="14860129" w:rsidR="00283EDF" w:rsidRPr="00622813" w:rsidRDefault="00283EDF">
      <w:pPr>
        <w:pStyle w:val="FootnoteText"/>
        <w:rPr>
          <w:sz w:val="22"/>
          <w:szCs w:val="22"/>
        </w:rPr>
      </w:pPr>
    </w:p>
  </w:footnote>
  <w:footnote w:id="4">
    <w:p w14:paraId="6F39DB28" w14:textId="157506CD" w:rsidR="00622813" w:rsidRDefault="00622813">
      <w:pPr>
        <w:pStyle w:val="FootnoteText"/>
      </w:pPr>
      <w:r w:rsidRPr="00622813">
        <w:rPr>
          <w:rStyle w:val="FootnoteReference"/>
          <w:sz w:val="22"/>
          <w:szCs w:val="22"/>
        </w:rPr>
        <w:footnoteRef/>
      </w:r>
      <w:r w:rsidRPr="00622813">
        <w:rPr>
          <w:sz w:val="22"/>
          <w:szCs w:val="22"/>
        </w:rPr>
        <w:t xml:space="preserve"> Alternative evidence can be considered on a case-by-case basis.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E5D99" w14:textId="6432B91D" w:rsidR="003D7E3F" w:rsidRDefault="009F4093">
    <w:pPr>
      <w:pStyle w:val="Header"/>
    </w:pPr>
    <w:r>
      <w:rPr>
        <w:noProof/>
      </w:rPr>
      <mc:AlternateContent>
        <mc:Choice Requires="wps">
          <w:drawing>
            <wp:anchor distT="0" distB="0" distL="114300" distR="114300" simplePos="0" relativeHeight="251661312" behindDoc="0" locked="0" layoutInCell="1" allowOverlap="1" wp14:anchorId="173B59E9" wp14:editId="3A0C9B88">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FD224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404C" w14:textId="7B5E1AB0" w:rsidR="003D7E3F" w:rsidRDefault="009F4093">
    <w:pPr>
      <w:pStyle w:val="Header"/>
    </w:pPr>
    <w:r>
      <w:rPr>
        <w:noProof/>
      </w:rPr>
      <mc:AlternateContent>
        <mc:Choice Requires="wps">
          <w:drawing>
            <wp:anchor distT="0" distB="0" distL="114300" distR="114300" simplePos="0" relativeHeight="251659264" behindDoc="0" locked="0" layoutInCell="1" allowOverlap="1" wp14:anchorId="038FAD62" wp14:editId="27F9B696">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C8701A"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A536" w14:textId="08F46C06" w:rsidR="003D7E3F" w:rsidRDefault="009F4093">
    <w:pPr>
      <w:pStyle w:val="Header"/>
    </w:pPr>
    <w:r>
      <w:rPr>
        <w:noProof/>
      </w:rPr>
      <mc:AlternateContent>
        <mc:Choice Requires="wps">
          <w:drawing>
            <wp:anchor distT="0" distB="0" distL="114300" distR="114300" simplePos="0" relativeHeight="251663360" behindDoc="0" locked="0" layoutInCell="1" allowOverlap="1" wp14:anchorId="779B4D28" wp14:editId="1C57FA81">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DB7224"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5F4"/>
    <w:multiLevelType w:val="hybridMultilevel"/>
    <w:tmpl w:val="1444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13279"/>
    <w:multiLevelType w:val="hybridMultilevel"/>
    <w:tmpl w:val="BDA88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F0A2E"/>
    <w:multiLevelType w:val="hybridMultilevel"/>
    <w:tmpl w:val="349CB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A2D14"/>
    <w:multiLevelType w:val="hybridMultilevel"/>
    <w:tmpl w:val="0334284A"/>
    <w:lvl w:ilvl="0" w:tplc="9F88A4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F2206"/>
    <w:multiLevelType w:val="hybridMultilevel"/>
    <w:tmpl w:val="9D7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952DE"/>
    <w:multiLevelType w:val="hybridMultilevel"/>
    <w:tmpl w:val="8670FB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7B1639"/>
    <w:multiLevelType w:val="hybridMultilevel"/>
    <w:tmpl w:val="743CB5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E437B0E"/>
    <w:multiLevelType w:val="hybridMultilevel"/>
    <w:tmpl w:val="2100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532A4"/>
    <w:multiLevelType w:val="hybridMultilevel"/>
    <w:tmpl w:val="E81CF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51957"/>
    <w:multiLevelType w:val="hybridMultilevel"/>
    <w:tmpl w:val="ACB2A9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337B5B"/>
    <w:multiLevelType w:val="hybridMultilevel"/>
    <w:tmpl w:val="573880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37125B"/>
    <w:multiLevelType w:val="hybridMultilevel"/>
    <w:tmpl w:val="E4E27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70A20D6">
      <w:start w:val="4"/>
      <w:numFmt w:val="decimal"/>
      <w:lvlText w:val="%3u"/>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9"/>
  </w:num>
  <w:num w:numId="6">
    <w:abstractNumId w:val="6"/>
  </w:num>
  <w:num w:numId="7">
    <w:abstractNumId w:val="3"/>
  </w:num>
  <w:num w:numId="8">
    <w:abstractNumId w:val="11"/>
  </w:num>
  <w:num w:numId="9">
    <w:abstractNumId w:val="5"/>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58"/>
    <w:rsid w:val="00000682"/>
    <w:rsid w:val="00002696"/>
    <w:rsid w:val="0004070F"/>
    <w:rsid w:val="00050FB7"/>
    <w:rsid w:val="00051EC3"/>
    <w:rsid w:val="00094EE5"/>
    <w:rsid w:val="000D096F"/>
    <w:rsid w:val="000F4B80"/>
    <w:rsid w:val="00106D58"/>
    <w:rsid w:val="00123848"/>
    <w:rsid w:val="00166712"/>
    <w:rsid w:val="001670F4"/>
    <w:rsid w:val="001A44A8"/>
    <w:rsid w:val="001A5383"/>
    <w:rsid w:val="001C06C6"/>
    <w:rsid w:val="001C215B"/>
    <w:rsid w:val="001D28B7"/>
    <w:rsid w:val="001D2B89"/>
    <w:rsid w:val="001D3B83"/>
    <w:rsid w:val="001D3D33"/>
    <w:rsid w:val="001F1A9E"/>
    <w:rsid w:val="001F5714"/>
    <w:rsid w:val="0022362E"/>
    <w:rsid w:val="00234DF2"/>
    <w:rsid w:val="00242005"/>
    <w:rsid w:val="00246607"/>
    <w:rsid w:val="0025098A"/>
    <w:rsid w:val="00271201"/>
    <w:rsid w:val="00283EDF"/>
    <w:rsid w:val="002B050D"/>
    <w:rsid w:val="003101BF"/>
    <w:rsid w:val="00314918"/>
    <w:rsid w:val="00320DC8"/>
    <w:rsid w:val="003344A6"/>
    <w:rsid w:val="003346CC"/>
    <w:rsid w:val="00336106"/>
    <w:rsid w:val="00341A16"/>
    <w:rsid w:val="00344B13"/>
    <w:rsid w:val="00361F04"/>
    <w:rsid w:val="003C5FC6"/>
    <w:rsid w:val="003D7E3F"/>
    <w:rsid w:val="0042539B"/>
    <w:rsid w:val="00457EC5"/>
    <w:rsid w:val="004A2B9C"/>
    <w:rsid w:val="004C3299"/>
    <w:rsid w:val="004C51F0"/>
    <w:rsid w:val="004D6336"/>
    <w:rsid w:val="0055012D"/>
    <w:rsid w:val="00553283"/>
    <w:rsid w:val="005B47D8"/>
    <w:rsid w:val="005D6BD1"/>
    <w:rsid w:val="00601B58"/>
    <w:rsid w:val="006023A0"/>
    <w:rsid w:val="00622813"/>
    <w:rsid w:val="00641702"/>
    <w:rsid w:val="006B79CF"/>
    <w:rsid w:val="006E6D0D"/>
    <w:rsid w:val="006F567E"/>
    <w:rsid w:val="00703068"/>
    <w:rsid w:val="00714AED"/>
    <w:rsid w:val="00714F0F"/>
    <w:rsid w:val="0071530E"/>
    <w:rsid w:val="0071734E"/>
    <w:rsid w:val="00727459"/>
    <w:rsid w:val="00727C76"/>
    <w:rsid w:val="00764CBC"/>
    <w:rsid w:val="007671C7"/>
    <w:rsid w:val="007838B9"/>
    <w:rsid w:val="007850ED"/>
    <w:rsid w:val="007B143E"/>
    <w:rsid w:val="007B475D"/>
    <w:rsid w:val="00806A51"/>
    <w:rsid w:val="0082021E"/>
    <w:rsid w:val="0082572C"/>
    <w:rsid w:val="00845884"/>
    <w:rsid w:val="00846DF8"/>
    <w:rsid w:val="00847667"/>
    <w:rsid w:val="00866E8F"/>
    <w:rsid w:val="00876EBF"/>
    <w:rsid w:val="008847F8"/>
    <w:rsid w:val="0089207B"/>
    <w:rsid w:val="008C77F2"/>
    <w:rsid w:val="008F74EA"/>
    <w:rsid w:val="0094160D"/>
    <w:rsid w:val="00952BE7"/>
    <w:rsid w:val="0096147E"/>
    <w:rsid w:val="00962789"/>
    <w:rsid w:val="0097118A"/>
    <w:rsid w:val="009A68B5"/>
    <w:rsid w:val="009F4093"/>
    <w:rsid w:val="00A06CB2"/>
    <w:rsid w:val="00A15A15"/>
    <w:rsid w:val="00A53257"/>
    <w:rsid w:val="00A552EF"/>
    <w:rsid w:val="00A60374"/>
    <w:rsid w:val="00A60C1A"/>
    <w:rsid w:val="00A657C2"/>
    <w:rsid w:val="00A73931"/>
    <w:rsid w:val="00A802A4"/>
    <w:rsid w:val="00AB385F"/>
    <w:rsid w:val="00AC1412"/>
    <w:rsid w:val="00AC6FE1"/>
    <w:rsid w:val="00AE3AA8"/>
    <w:rsid w:val="00AF0080"/>
    <w:rsid w:val="00B06BD9"/>
    <w:rsid w:val="00B06F5D"/>
    <w:rsid w:val="00B1519F"/>
    <w:rsid w:val="00B37CCB"/>
    <w:rsid w:val="00B570B2"/>
    <w:rsid w:val="00B63936"/>
    <w:rsid w:val="00B76BBC"/>
    <w:rsid w:val="00BD2B74"/>
    <w:rsid w:val="00BF2D2F"/>
    <w:rsid w:val="00C3183F"/>
    <w:rsid w:val="00C34940"/>
    <w:rsid w:val="00C3748A"/>
    <w:rsid w:val="00C459A7"/>
    <w:rsid w:val="00CC578E"/>
    <w:rsid w:val="00D23E89"/>
    <w:rsid w:val="00D37E64"/>
    <w:rsid w:val="00D47E8E"/>
    <w:rsid w:val="00D550EC"/>
    <w:rsid w:val="00D7641F"/>
    <w:rsid w:val="00D84EF4"/>
    <w:rsid w:val="00D92A5E"/>
    <w:rsid w:val="00DE4E6C"/>
    <w:rsid w:val="00DE7604"/>
    <w:rsid w:val="00E10040"/>
    <w:rsid w:val="00E224AC"/>
    <w:rsid w:val="00E228E7"/>
    <w:rsid w:val="00E60352"/>
    <w:rsid w:val="00E67572"/>
    <w:rsid w:val="00E8450C"/>
    <w:rsid w:val="00E930EB"/>
    <w:rsid w:val="00EA1AD6"/>
    <w:rsid w:val="00EB0FD3"/>
    <w:rsid w:val="00EB7B1D"/>
    <w:rsid w:val="00F0237C"/>
    <w:rsid w:val="00F33ECD"/>
    <w:rsid w:val="00F53895"/>
    <w:rsid w:val="00F72D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F40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58"/>
    <w:pPr>
      <w:ind w:left="720"/>
      <w:contextualSpacing/>
    </w:pPr>
  </w:style>
  <w:style w:type="paragraph" w:styleId="Header">
    <w:name w:val="header"/>
    <w:basedOn w:val="Normal"/>
    <w:link w:val="HeaderChar"/>
    <w:uiPriority w:val="99"/>
    <w:unhideWhenUsed/>
    <w:rsid w:val="008F74EA"/>
    <w:pPr>
      <w:tabs>
        <w:tab w:val="center" w:pos="4320"/>
        <w:tab w:val="right" w:pos="8640"/>
      </w:tabs>
    </w:pPr>
  </w:style>
  <w:style w:type="character" w:customStyle="1" w:styleId="HeaderChar">
    <w:name w:val="Header Char"/>
    <w:basedOn w:val="DefaultParagraphFont"/>
    <w:link w:val="Header"/>
    <w:uiPriority w:val="99"/>
    <w:rsid w:val="008F74EA"/>
  </w:style>
  <w:style w:type="paragraph" w:styleId="Footer">
    <w:name w:val="footer"/>
    <w:basedOn w:val="Normal"/>
    <w:link w:val="FooterChar"/>
    <w:uiPriority w:val="99"/>
    <w:unhideWhenUsed/>
    <w:rsid w:val="008F74EA"/>
    <w:pPr>
      <w:tabs>
        <w:tab w:val="center" w:pos="4320"/>
        <w:tab w:val="right" w:pos="8640"/>
      </w:tabs>
    </w:pPr>
  </w:style>
  <w:style w:type="character" w:customStyle="1" w:styleId="FooterChar">
    <w:name w:val="Footer Char"/>
    <w:basedOn w:val="DefaultParagraphFont"/>
    <w:link w:val="Footer"/>
    <w:uiPriority w:val="99"/>
    <w:rsid w:val="008F74EA"/>
  </w:style>
  <w:style w:type="paragraph" w:customStyle="1" w:styleId="Default">
    <w:name w:val="Default"/>
    <w:rsid w:val="00361F04"/>
    <w:pPr>
      <w:widowControl w:val="0"/>
      <w:autoSpaceDE w:val="0"/>
      <w:autoSpaceDN w:val="0"/>
      <w:adjustRightInd w:val="0"/>
    </w:pPr>
    <w:rPr>
      <w:rFonts w:ascii="Adobe Garamond Pro" w:hAnsi="Adobe Garamond Pro" w:cs="Adobe Garamond Pro"/>
      <w:color w:val="000000"/>
    </w:rPr>
  </w:style>
  <w:style w:type="paragraph" w:styleId="BalloonText">
    <w:name w:val="Balloon Text"/>
    <w:basedOn w:val="Normal"/>
    <w:link w:val="BalloonTextChar"/>
    <w:uiPriority w:val="99"/>
    <w:semiHidden/>
    <w:unhideWhenUsed/>
    <w:rsid w:val="00B63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9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936"/>
    <w:rPr>
      <w:sz w:val="18"/>
      <w:szCs w:val="18"/>
    </w:rPr>
  </w:style>
  <w:style w:type="paragraph" w:styleId="CommentText">
    <w:name w:val="annotation text"/>
    <w:basedOn w:val="Normal"/>
    <w:link w:val="CommentTextChar"/>
    <w:uiPriority w:val="99"/>
    <w:semiHidden/>
    <w:unhideWhenUsed/>
    <w:rsid w:val="00B63936"/>
  </w:style>
  <w:style w:type="character" w:customStyle="1" w:styleId="CommentTextChar">
    <w:name w:val="Comment Text Char"/>
    <w:basedOn w:val="DefaultParagraphFont"/>
    <w:link w:val="CommentText"/>
    <w:uiPriority w:val="99"/>
    <w:semiHidden/>
    <w:rsid w:val="00B63936"/>
  </w:style>
  <w:style w:type="paragraph" w:styleId="CommentSubject">
    <w:name w:val="annotation subject"/>
    <w:basedOn w:val="CommentText"/>
    <w:next w:val="CommentText"/>
    <w:link w:val="CommentSubjectChar"/>
    <w:uiPriority w:val="99"/>
    <w:semiHidden/>
    <w:unhideWhenUsed/>
    <w:rsid w:val="00B63936"/>
    <w:rPr>
      <w:b/>
      <w:bCs/>
      <w:sz w:val="20"/>
      <w:szCs w:val="20"/>
    </w:rPr>
  </w:style>
  <w:style w:type="character" w:customStyle="1" w:styleId="CommentSubjectChar">
    <w:name w:val="Comment Subject Char"/>
    <w:basedOn w:val="CommentTextChar"/>
    <w:link w:val="CommentSubject"/>
    <w:uiPriority w:val="99"/>
    <w:semiHidden/>
    <w:rsid w:val="00B63936"/>
    <w:rPr>
      <w:b/>
      <w:bCs/>
      <w:sz w:val="20"/>
      <w:szCs w:val="20"/>
    </w:rPr>
  </w:style>
  <w:style w:type="paragraph" w:styleId="FootnoteText">
    <w:name w:val="footnote text"/>
    <w:basedOn w:val="Normal"/>
    <w:link w:val="FootnoteTextChar"/>
    <w:uiPriority w:val="99"/>
    <w:unhideWhenUsed/>
    <w:rsid w:val="00B63936"/>
  </w:style>
  <w:style w:type="character" w:customStyle="1" w:styleId="FootnoteTextChar">
    <w:name w:val="Footnote Text Char"/>
    <w:basedOn w:val="DefaultParagraphFont"/>
    <w:link w:val="FootnoteText"/>
    <w:uiPriority w:val="99"/>
    <w:rsid w:val="00B63936"/>
  </w:style>
  <w:style w:type="character" w:styleId="FootnoteReference">
    <w:name w:val="footnote reference"/>
    <w:basedOn w:val="DefaultParagraphFont"/>
    <w:uiPriority w:val="99"/>
    <w:unhideWhenUsed/>
    <w:rsid w:val="00B63936"/>
    <w:rPr>
      <w:vertAlign w:val="superscript"/>
    </w:rPr>
  </w:style>
  <w:style w:type="paragraph" w:customStyle="1" w:styleId="p1">
    <w:name w:val="p1"/>
    <w:basedOn w:val="Normal"/>
    <w:rsid w:val="00242005"/>
    <w:rPr>
      <w:rFonts w:ascii="Helvetica" w:hAnsi="Helvetica"/>
      <w:sz w:val="15"/>
      <w:szCs w:val="15"/>
    </w:rPr>
  </w:style>
  <w:style w:type="character" w:customStyle="1" w:styleId="apple-converted-space">
    <w:name w:val="apple-converted-space"/>
    <w:basedOn w:val="DefaultParagraphFont"/>
    <w:rsid w:val="0024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1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Kain</dc:creator>
  <cp:keywords/>
  <dc:description/>
  <cp:lastModifiedBy>Microsoft Office User</cp:lastModifiedBy>
  <cp:revision>2</cp:revision>
  <cp:lastPrinted>2017-05-15T16:57:00Z</cp:lastPrinted>
  <dcterms:created xsi:type="dcterms:W3CDTF">2017-09-12T00:30:00Z</dcterms:created>
  <dcterms:modified xsi:type="dcterms:W3CDTF">2017-09-12T00:30:00Z</dcterms:modified>
</cp:coreProperties>
</file>