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720D" w:rsidRDefault="003F720D">
      <w:bookmarkStart w:id="0" w:name="_GoBack"/>
      <w:bookmarkEnd w:id="0"/>
    </w:p>
    <w:p w:rsidR="00DF3C7B" w:rsidRPr="00C75C43" w:rsidRDefault="00DF3C7B" w:rsidP="00DF3C7B">
      <w:pPr>
        <w:jc w:val="center"/>
        <w:rPr>
          <w:b/>
          <w:sz w:val="24"/>
          <w:szCs w:val="24"/>
        </w:rPr>
      </w:pPr>
      <w:r w:rsidRPr="00C75C43">
        <w:rPr>
          <w:b/>
          <w:sz w:val="24"/>
          <w:szCs w:val="24"/>
        </w:rPr>
        <w:t>Pillar One:</w:t>
      </w:r>
      <w:r w:rsidRPr="00C75C43">
        <w:rPr>
          <w:b/>
          <w:color w:val="181818"/>
          <w:sz w:val="26"/>
          <w:szCs w:val="26"/>
          <w:shd w:val="clear" w:color="auto" w:fill="FFFFFF"/>
        </w:rPr>
        <w:t xml:space="preserve"> Taking Control (Responsibility)</w:t>
      </w:r>
    </w:p>
    <w:p w:rsidR="00C75C43" w:rsidRDefault="00DF3C7B" w:rsidP="00C75C43">
      <w:r w:rsidRPr="00DF3C7B">
        <w:rPr>
          <w:b/>
          <w:sz w:val="24"/>
          <w:szCs w:val="24"/>
        </w:rPr>
        <w:t xml:space="preserve">Outcome: </w:t>
      </w:r>
      <w:r w:rsidR="00C75C43" w:rsidRPr="00C75C43">
        <w:t>The students will examine how accepting responsibility is empowering.   They will recognize how their actions, or lack thereof, effects their individual success, and summarize how personal res</w:t>
      </w:r>
      <w:r w:rsidR="00C75C43">
        <w:t>ponsibility is in their control.</w:t>
      </w:r>
    </w:p>
    <w:p w:rsidR="00100646" w:rsidRDefault="00DF3C7B" w:rsidP="00DF3C7B">
      <w:r w:rsidRPr="00DF3C7B">
        <w:rPr>
          <w:b/>
          <w:sz w:val="24"/>
          <w:szCs w:val="24"/>
        </w:rPr>
        <w:t xml:space="preserve">Quote: </w:t>
      </w:r>
    </w:p>
    <w:p w:rsidR="00DF3C7B" w:rsidRPr="00100646" w:rsidRDefault="00DF3C7B" w:rsidP="00DF3C7B">
      <w:r w:rsidRPr="00100646">
        <w:rPr>
          <w:color w:val="181818"/>
          <w:shd w:val="clear" w:color="auto" w:fill="FFFFFF"/>
        </w:rPr>
        <w:t>“Parents can only give good advice or put them on the right paths, but the final forming of a person's character lies in their own hands.”</w:t>
      </w:r>
      <w:r w:rsidRPr="00100646">
        <w:rPr>
          <w:rStyle w:val="apple-converted-space"/>
          <w:color w:val="181818"/>
          <w:shd w:val="clear" w:color="auto" w:fill="FFFFFF"/>
        </w:rPr>
        <w:t> </w:t>
      </w:r>
      <w:r w:rsidRPr="00100646">
        <w:rPr>
          <w:color w:val="181818"/>
        </w:rPr>
        <w:br/>
      </w:r>
      <w:r w:rsidRPr="00100646">
        <w:rPr>
          <w:color w:val="181818"/>
          <w:shd w:val="clear" w:color="auto" w:fill="FFFFFF"/>
        </w:rPr>
        <w:t>―</w:t>
      </w:r>
      <w:r w:rsidRPr="000334C5">
        <w:rPr>
          <w:rStyle w:val="apple-converted-space"/>
          <w:color w:val="181818"/>
          <w:shd w:val="clear" w:color="auto" w:fill="FFFFFF"/>
        </w:rPr>
        <w:t> </w:t>
      </w:r>
      <w:hyperlink r:id="rId6" w:history="1">
        <w:r w:rsidRPr="000334C5">
          <w:rPr>
            <w:rStyle w:val="Hyperlink"/>
            <w:color w:val="666600"/>
            <w:u w:val="none"/>
            <w:shd w:val="clear" w:color="auto" w:fill="FFFFFF"/>
          </w:rPr>
          <w:t>Anne Frank</w:t>
        </w:r>
      </w:hyperlink>
      <w:r w:rsidRPr="00100646">
        <w:br w:type="textWrapping" w:clear="all"/>
      </w:r>
    </w:p>
    <w:p w:rsidR="00DF3C7B" w:rsidRPr="00C75C43" w:rsidRDefault="00DF3C7B" w:rsidP="00DF3C7B">
      <w:pPr>
        <w:jc w:val="center"/>
        <w:rPr>
          <w:b/>
          <w:sz w:val="24"/>
          <w:szCs w:val="24"/>
        </w:rPr>
      </w:pPr>
      <w:r w:rsidRPr="00C75C43">
        <w:rPr>
          <w:b/>
          <w:sz w:val="24"/>
          <w:szCs w:val="24"/>
        </w:rPr>
        <w:t>Pillar Two:</w:t>
      </w:r>
      <w:r w:rsidR="00C75C43" w:rsidRPr="00C75C43">
        <w:rPr>
          <w:b/>
          <w:sz w:val="24"/>
          <w:szCs w:val="24"/>
        </w:rPr>
        <w:t xml:space="preserve"> Establishing Self-Worth</w:t>
      </w:r>
    </w:p>
    <w:p w:rsidR="00C75C43" w:rsidRDefault="00DF3C7B" w:rsidP="00C75C43">
      <w:pPr>
        <w:rPr>
          <w:sz w:val="30"/>
          <w:szCs w:val="30"/>
        </w:rPr>
      </w:pPr>
      <w:r w:rsidRPr="00DF3C7B">
        <w:rPr>
          <w:b/>
          <w:sz w:val="24"/>
          <w:szCs w:val="24"/>
        </w:rPr>
        <w:t xml:space="preserve">Outcome: </w:t>
      </w:r>
      <w:r w:rsidR="00C75C43" w:rsidRPr="00C75C43">
        <w:t>The student will describe the meaning of self-worth and experiment with strategies to build and maintain a strong sense of self-worth.</w:t>
      </w:r>
    </w:p>
    <w:p w:rsidR="009344B9" w:rsidRDefault="00DF3C7B" w:rsidP="009344B9">
      <w:pPr>
        <w:shd w:val="clear" w:color="auto" w:fill="FFFFFF"/>
        <w:spacing w:after="0" w:line="270" w:lineRule="atLeast"/>
        <w:rPr>
          <w:b/>
          <w:sz w:val="24"/>
          <w:szCs w:val="24"/>
        </w:rPr>
      </w:pPr>
      <w:r w:rsidRPr="00DF3C7B">
        <w:rPr>
          <w:b/>
          <w:sz w:val="24"/>
          <w:szCs w:val="24"/>
        </w:rPr>
        <w:t xml:space="preserve">Quote: </w:t>
      </w:r>
      <w:r w:rsidR="009344B9">
        <w:rPr>
          <w:b/>
          <w:sz w:val="24"/>
          <w:szCs w:val="24"/>
        </w:rPr>
        <w:tab/>
      </w:r>
    </w:p>
    <w:p w:rsidR="009344B9" w:rsidRPr="009344B9" w:rsidRDefault="009344B9" w:rsidP="009344B9">
      <w:pPr>
        <w:shd w:val="clear" w:color="auto" w:fill="FFFFFF"/>
        <w:spacing w:after="0" w:line="270" w:lineRule="atLeast"/>
        <w:rPr>
          <w:rFonts w:eastAsia="Times New Roman" w:cs="Times New Roman"/>
          <w:color w:val="181818"/>
          <w:sz w:val="21"/>
          <w:szCs w:val="21"/>
        </w:rPr>
      </w:pPr>
      <w:r w:rsidRPr="009344B9">
        <w:rPr>
          <w:rFonts w:eastAsia="Times New Roman" w:cs="Times New Roman"/>
          <w:color w:val="181818"/>
          <w:sz w:val="21"/>
          <w:szCs w:val="21"/>
        </w:rPr>
        <w:t>“We cannot think of being acceptable to others until we have first proven acceptable to ourselves.” </w:t>
      </w:r>
      <w:r w:rsidRPr="009344B9">
        <w:rPr>
          <w:rFonts w:eastAsia="Times New Roman" w:cs="Times New Roman"/>
          <w:color w:val="181818"/>
          <w:sz w:val="21"/>
          <w:szCs w:val="21"/>
        </w:rPr>
        <w:br/>
        <w:t>― </w:t>
      </w:r>
      <w:hyperlink r:id="rId7" w:history="1">
        <w:r w:rsidRPr="009344B9">
          <w:rPr>
            <w:rFonts w:eastAsia="Times New Roman" w:cs="Times New Roman"/>
            <w:color w:val="666600"/>
            <w:sz w:val="21"/>
            <w:szCs w:val="21"/>
          </w:rPr>
          <w:t>Malcolm X</w:t>
        </w:r>
      </w:hyperlink>
    </w:p>
    <w:p w:rsidR="00DF3C7B" w:rsidRPr="00DF3C7B" w:rsidRDefault="00DF3C7B" w:rsidP="009344B9">
      <w:pPr>
        <w:tabs>
          <w:tab w:val="left" w:pos="1500"/>
        </w:tabs>
        <w:rPr>
          <w:b/>
          <w:sz w:val="24"/>
          <w:szCs w:val="24"/>
        </w:rPr>
      </w:pPr>
    </w:p>
    <w:p w:rsidR="00DF3C7B" w:rsidRPr="00C75C43" w:rsidRDefault="00DF3C7B" w:rsidP="00DF3C7B">
      <w:pPr>
        <w:jc w:val="center"/>
        <w:rPr>
          <w:b/>
          <w:sz w:val="24"/>
          <w:szCs w:val="24"/>
        </w:rPr>
      </w:pPr>
      <w:r w:rsidRPr="00C75C43">
        <w:rPr>
          <w:b/>
          <w:sz w:val="24"/>
          <w:szCs w:val="24"/>
        </w:rPr>
        <w:t>Pillar Three:</w:t>
      </w:r>
      <w:r w:rsidR="00C75C43" w:rsidRPr="00C75C43">
        <w:rPr>
          <w:b/>
          <w:sz w:val="24"/>
          <w:szCs w:val="24"/>
        </w:rPr>
        <w:t xml:space="preserve"> So that I can…</w:t>
      </w:r>
    </w:p>
    <w:p w:rsidR="00C75C43" w:rsidRDefault="00DF3C7B" w:rsidP="00C75C43">
      <w:pPr>
        <w:rPr>
          <w:sz w:val="30"/>
          <w:szCs w:val="30"/>
        </w:rPr>
      </w:pPr>
      <w:r w:rsidRPr="00DF3C7B">
        <w:rPr>
          <w:b/>
          <w:sz w:val="24"/>
          <w:szCs w:val="24"/>
        </w:rPr>
        <w:t xml:space="preserve">Outcome: </w:t>
      </w:r>
      <w:r w:rsidR="00C75C43" w:rsidRPr="00C75C43">
        <w:t xml:space="preserve">The student will practice the process of goal setting and identify actions that will lead to the realization of goals over time. </w:t>
      </w:r>
    </w:p>
    <w:p w:rsidR="009344B9" w:rsidRDefault="00DF3C7B" w:rsidP="009344B9">
      <w:pPr>
        <w:shd w:val="clear" w:color="auto" w:fill="FFFFFF"/>
        <w:spacing w:after="0" w:line="270" w:lineRule="atLeast"/>
        <w:rPr>
          <w:b/>
          <w:sz w:val="24"/>
          <w:szCs w:val="24"/>
        </w:rPr>
      </w:pPr>
      <w:r w:rsidRPr="00DF3C7B">
        <w:rPr>
          <w:b/>
          <w:sz w:val="24"/>
          <w:szCs w:val="24"/>
        </w:rPr>
        <w:t xml:space="preserve">Quote: </w:t>
      </w:r>
    </w:p>
    <w:p w:rsidR="009344B9" w:rsidRPr="009A7E06" w:rsidRDefault="009344B9" w:rsidP="009344B9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181818"/>
          <w:sz w:val="21"/>
          <w:szCs w:val="21"/>
        </w:rPr>
      </w:pPr>
      <w:r w:rsidRPr="009A7E06">
        <w:rPr>
          <w:rFonts w:ascii="Georgia" w:eastAsia="Times New Roman" w:hAnsi="Georgia" w:cs="Times New Roman"/>
          <w:color w:val="181818"/>
          <w:sz w:val="21"/>
          <w:szCs w:val="21"/>
        </w:rPr>
        <w:t>“The future depends on what you do today.” </w:t>
      </w:r>
      <w:r w:rsidRPr="009A7E06">
        <w:rPr>
          <w:rFonts w:ascii="Georgia" w:eastAsia="Times New Roman" w:hAnsi="Georgia" w:cs="Times New Roman"/>
          <w:color w:val="181818"/>
          <w:sz w:val="21"/>
          <w:szCs w:val="21"/>
        </w:rPr>
        <w:br/>
        <w:t>― </w:t>
      </w:r>
      <w:hyperlink r:id="rId8" w:history="1">
        <w:r w:rsidRPr="009A7E06">
          <w:rPr>
            <w:rFonts w:ascii="Georgia" w:eastAsia="Times New Roman" w:hAnsi="Georgia" w:cs="Times New Roman"/>
            <w:color w:val="666600"/>
            <w:sz w:val="21"/>
            <w:szCs w:val="21"/>
          </w:rPr>
          <w:t>Mahatma Gandhi</w:t>
        </w:r>
      </w:hyperlink>
    </w:p>
    <w:p w:rsidR="009344B9" w:rsidRPr="00DF3C7B" w:rsidRDefault="009344B9" w:rsidP="00DF3C7B">
      <w:pPr>
        <w:rPr>
          <w:b/>
          <w:sz w:val="24"/>
          <w:szCs w:val="24"/>
        </w:rPr>
      </w:pPr>
    </w:p>
    <w:p w:rsidR="00DF3C7B" w:rsidRPr="00C75C43" w:rsidRDefault="00DF3C7B" w:rsidP="00DF3C7B">
      <w:pPr>
        <w:jc w:val="center"/>
        <w:rPr>
          <w:b/>
          <w:sz w:val="24"/>
          <w:szCs w:val="24"/>
        </w:rPr>
      </w:pPr>
      <w:r w:rsidRPr="00C75C43">
        <w:rPr>
          <w:b/>
          <w:sz w:val="24"/>
          <w:szCs w:val="24"/>
        </w:rPr>
        <w:t>Pillar Four:</w:t>
      </w:r>
      <w:r w:rsidR="00C75C43" w:rsidRPr="00C75C43">
        <w:rPr>
          <w:b/>
          <w:sz w:val="24"/>
          <w:szCs w:val="24"/>
        </w:rPr>
        <w:t xml:space="preserve"> Connecting with Community and Contributing</w:t>
      </w:r>
    </w:p>
    <w:p w:rsidR="00C75C43" w:rsidRPr="00C75C43" w:rsidRDefault="00DF3C7B" w:rsidP="00C75C43">
      <w:r w:rsidRPr="00DF3C7B">
        <w:rPr>
          <w:b/>
          <w:sz w:val="24"/>
          <w:szCs w:val="24"/>
        </w:rPr>
        <w:t xml:space="preserve">Outcome: </w:t>
      </w:r>
      <w:r w:rsidR="00C75C43" w:rsidRPr="00C75C43">
        <w:t xml:space="preserve">The student will develop an understanding of community and recognize what it means to contribute to, as well as learn from, his or her community. </w:t>
      </w:r>
    </w:p>
    <w:p w:rsidR="00C75C43" w:rsidRPr="00C75C43" w:rsidRDefault="00C75C43" w:rsidP="00C75C43">
      <w:r w:rsidRPr="00C75C43">
        <w:t xml:space="preserve">The student will practice networking and illustrate how they can use their local community to help build a network of resources in all areas of life. </w:t>
      </w:r>
    </w:p>
    <w:p w:rsidR="00100646" w:rsidRDefault="00DF3C7B" w:rsidP="00C75C43">
      <w:pPr>
        <w:shd w:val="clear" w:color="auto" w:fill="FFFFFF"/>
        <w:spacing w:after="0" w:line="270" w:lineRule="atLeast"/>
        <w:rPr>
          <w:b/>
          <w:sz w:val="24"/>
          <w:szCs w:val="24"/>
        </w:rPr>
      </w:pPr>
      <w:r w:rsidRPr="00DF3C7B">
        <w:rPr>
          <w:b/>
          <w:sz w:val="24"/>
          <w:szCs w:val="24"/>
        </w:rPr>
        <w:t>Quote:</w:t>
      </w:r>
    </w:p>
    <w:p w:rsidR="00C75C43" w:rsidRPr="00C93CA6" w:rsidRDefault="00DF3C7B" w:rsidP="00C75C43">
      <w:pPr>
        <w:shd w:val="clear" w:color="auto" w:fill="FFFFFF"/>
        <w:spacing w:after="0" w:line="270" w:lineRule="atLeast"/>
        <w:rPr>
          <w:rFonts w:ascii="Georgia" w:eastAsia="Times New Roman" w:hAnsi="Georgia" w:cs="Times New Roman"/>
          <w:color w:val="181818"/>
          <w:sz w:val="21"/>
          <w:szCs w:val="21"/>
        </w:rPr>
      </w:pPr>
      <w:r w:rsidRPr="00DF3C7B">
        <w:rPr>
          <w:b/>
          <w:sz w:val="24"/>
          <w:szCs w:val="24"/>
        </w:rPr>
        <w:t xml:space="preserve"> </w:t>
      </w:r>
      <w:r w:rsidR="00C75C43" w:rsidRPr="00C75C43">
        <w:rPr>
          <w:rFonts w:eastAsia="Times New Roman" w:cs="Times New Roman"/>
          <w:color w:val="181818"/>
        </w:rPr>
        <w:t>“I alone cannot change the world, but I can cast a stone across the waters to create many ripples.” </w:t>
      </w:r>
      <w:r w:rsidR="00C75C43" w:rsidRPr="00C75C43">
        <w:rPr>
          <w:rFonts w:eastAsia="Times New Roman" w:cs="Times New Roman"/>
          <w:color w:val="181818"/>
        </w:rPr>
        <w:br/>
        <w:t>― </w:t>
      </w:r>
      <w:hyperlink r:id="rId9" w:history="1">
        <w:r w:rsidR="00C75C43" w:rsidRPr="00C75C43">
          <w:rPr>
            <w:rFonts w:eastAsia="Times New Roman" w:cs="Times New Roman"/>
            <w:color w:val="666600"/>
          </w:rPr>
          <w:t>Mother Teresa</w:t>
        </w:r>
      </w:hyperlink>
    </w:p>
    <w:p w:rsidR="00DF3C7B" w:rsidRPr="00DF3C7B" w:rsidRDefault="00DF3C7B" w:rsidP="00DF3C7B">
      <w:pPr>
        <w:rPr>
          <w:b/>
          <w:sz w:val="24"/>
          <w:szCs w:val="24"/>
        </w:rPr>
      </w:pPr>
    </w:p>
    <w:p w:rsidR="00DF3C7B" w:rsidRPr="0043378B" w:rsidRDefault="00DF3C7B" w:rsidP="00DF3C7B">
      <w:pPr>
        <w:jc w:val="center"/>
        <w:rPr>
          <w:b/>
          <w:sz w:val="24"/>
          <w:szCs w:val="24"/>
        </w:rPr>
      </w:pPr>
      <w:r w:rsidRPr="0043378B">
        <w:rPr>
          <w:b/>
          <w:sz w:val="24"/>
          <w:szCs w:val="24"/>
        </w:rPr>
        <w:t>Pillar Five:</w:t>
      </w:r>
      <w:r w:rsidRPr="0043378B">
        <w:rPr>
          <w:b/>
          <w:sz w:val="26"/>
          <w:szCs w:val="26"/>
        </w:rPr>
        <w:t xml:space="preserve"> It is a relationship thing</w:t>
      </w:r>
    </w:p>
    <w:p w:rsidR="00DF3C7B" w:rsidRDefault="00DF3C7B" w:rsidP="00DF3C7B">
      <w:r w:rsidRPr="00DF3C7B">
        <w:rPr>
          <w:b/>
          <w:sz w:val="24"/>
          <w:szCs w:val="24"/>
        </w:rPr>
        <w:t xml:space="preserve">Outcome: </w:t>
      </w:r>
      <w:r w:rsidR="00C75C43" w:rsidRPr="00C75C43">
        <w:t xml:space="preserve">Students will compare positive and negative relationships and the effect that both can have on their ability to be successful. </w:t>
      </w:r>
    </w:p>
    <w:p w:rsidR="00DF3C7B" w:rsidRPr="00DF3C7B" w:rsidRDefault="00DF3C7B" w:rsidP="00DF3C7B">
      <w:pPr>
        <w:jc w:val="both"/>
        <w:rPr>
          <w:sz w:val="24"/>
          <w:szCs w:val="24"/>
        </w:rPr>
      </w:pPr>
      <w:r w:rsidRPr="00DF3C7B">
        <w:rPr>
          <w:b/>
          <w:sz w:val="24"/>
          <w:szCs w:val="24"/>
        </w:rPr>
        <w:t xml:space="preserve">Quote: </w:t>
      </w:r>
    </w:p>
    <w:p w:rsidR="00DF3C7B" w:rsidRPr="00100646" w:rsidRDefault="00DF3C7B" w:rsidP="00DF3C7B">
      <w:pPr>
        <w:shd w:val="clear" w:color="auto" w:fill="FFFFFF"/>
        <w:spacing w:after="225" w:line="270" w:lineRule="atLeast"/>
        <w:outlineLvl w:val="0"/>
        <w:rPr>
          <w:rFonts w:eastAsia="Times New Roman" w:cs="Times New Roman"/>
          <w:color w:val="181818"/>
          <w:kern w:val="36"/>
        </w:rPr>
      </w:pPr>
      <w:r w:rsidRPr="00100646">
        <w:rPr>
          <w:rFonts w:eastAsia="Times New Roman" w:cs="Times New Roman"/>
          <w:color w:val="181818"/>
          <w:kern w:val="36"/>
        </w:rPr>
        <w:t>“If you hang out with chickens, you're going to cluck and if you hang out with eagles, you're going to fly.”</w:t>
      </w:r>
    </w:p>
    <w:p w:rsidR="00DF3C7B" w:rsidRPr="00100646" w:rsidRDefault="00DF3C7B" w:rsidP="00DF3C7B">
      <w:r w:rsidRPr="00100646">
        <w:rPr>
          <w:rFonts w:eastAsia="Times New Roman" w:cs="Times New Roman"/>
          <w:color w:val="181818"/>
        </w:rPr>
        <w:br/>
      </w:r>
      <w:r w:rsidRPr="00100646">
        <w:rPr>
          <w:rFonts w:eastAsia="Times New Roman" w:cs="Times New Roman"/>
          <w:color w:val="181818"/>
          <w:shd w:val="clear" w:color="auto" w:fill="FFFFFF"/>
        </w:rPr>
        <w:t>― </w:t>
      </w:r>
      <w:hyperlink r:id="rId10" w:history="1">
        <w:r w:rsidRPr="00100646">
          <w:rPr>
            <w:rFonts w:eastAsia="Times New Roman" w:cs="Times New Roman"/>
            <w:color w:val="666600"/>
            <w:shd w:val="clear" w:color="auto" w:fill="FFFFFF"/>
          </w:rPr>
          <w:t xml:space="preserve">Steve </w:t>
        </w:r>
        <w:proofErr w:type="spellStart"/>
        <w:r w:rsidRPr="00100646">
          <w:rPr>
            <w:rFonts w:eastAsia="Times New Roman" w:cs="Times New Roman"/>
            <w:color w:val="666600"/>
            <w:shd w:val="clear" w:color="auto" w:fill="FFFFFF"/>
          </w:rPr>
          <w:t>Maraboli</w:t>
        </w:r>
        <w:proofErr w:type="spellEnd"/>
      </w:hyperlink>
      <w:r w:rsidRPr="00100646">
        <w:rPr>
          <w:rFonts w:eastAsia="Times New Roman" w:cs="Times New Roman"/>
          <w:color w:val="181818"/>
          <w:shd w:val="clear" w:color="auto" w:fill="FFFFFF"/>
        </w:rPr>
        <w:t>, </w:t>
      </w:r>
      <w:hyperlink r:id="rId11" w:history="1">
        <w:r w:rsidRPr="00100646">
          <w:rPr>
            <w:rFonts w:eastAsia="Times New Roman" w:cs="Times New Roman"/>
            <w:i/>
            <w:iCs/>
            <w:color w:val="666600"/>
            <w:shd w:val="clear" w:color="auto" w:fill="FFFFFF"/>
          </w:rPr>
          <w:t>Unapologetically You: Reflections on Life and the Human Experience</w:t>
        </w:r>
      </w:hyperlink>
    </w:p>
    <w:p w:rsidR="00DF3C7B" w:rsidRPr="00DF3C7B" w:rsidRDefault="00DF3C7B" w:rsidP="00DF3C7B">
      <w:pPr>
        <w:rPr>
          <w:b/>
        </w:rPr>
      </w:pPr>
    </w:p>
    <w:p w:rsidR="00DF3C7B" w:rsidRPr="00DF3C7B" w:rsidRDefault="00DF3C7B" w:rsidP="00DF3C7B">
      <w:pPr>
        <w:rPr>
          <w:b/>
        </w:rPr>
      </w:pPr>
    </w:p>
    <w:p w:rsidR="00DF3C7B" w:rsidRPr="00DF3C7B" w:rsidRDefault="00DF3C7B" w:rsidP="00DF3C7B">
      <w:pPr>
        <w:rPr>
          <w:b/>
        </w:rPr>
      </w:pPr>
    </w:p>
    <w:sectPr w:rsidR="00DF3C7B" w:rsidRPr="00DF3C7B">
      <w:head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E2CA1" w:rsidRDefault="000E2CA1" w:rsidP="00DF3C7B">
      <w:pPr>
        <w:spacing w:after="0" w:line="240" w:lineRule="auto"/>
      </w:pPr>
      <w:r>
        <w:separator/>
      </w:r>
    </w:p>
  </w:endnote>
  <w:endnote w:type="continuationSeparator" w:id="0">
    <w:p w:rsidR="000E2CA1" w:rsidRDefault="000E2CA1" w:rsidP="00DF3C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E2CA1" w:rsidRDefault="000E2CA1" w:rsidP="00DF3C7B">
      <w:pPr>
        <w:spacing w:after="0" w:line="240" w:lineRule="auto"/>
      </w:pPr>
      <w:r>
        <w:separator/>
      </w:r>
    </w:p>
  </w:footnote>
  <w:footnote w:type="continuationSeparator" w:id="0">
    <w:p w:rsidR="000E2CA1" w:rsidRDefault="000E2CA1" w:rsidP="00DF3C7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C7B" w:rsidRDefault="00DF3C7B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645D48A" wp14:editId="1FF7A034">
              <wp:simplePos x="0" y="0"/>
              <wp:positionH relativeFrom="column">
                <wp:posOffset>1476375</wp:posOffset>
              </wp:positionH>
              <wp:positionV relativeFrom="paragraph">
                <wp:posOffset>-142875</wp:posOffset>
              </wp:positionV>
              <wp:extent cx="1828800" cy="1828800"/>
              <wp:effectExtent l="0" t="0" r="0" b="4445"/>
              <wp:wrapSquare wrapText="bothSides"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DF3C7B" w:rsidRPr="00DF3C7B" w:rsidRDefault="00DF3C7B" w:rsidP="00DF3C7B">
                          <w:pPr>
                            <w:pStyle w:val="Header"/>
                            <w:jc w:val="center"/>
                            <w:rPr>
                              <w:b/>
                              <w:sz w:val="72"/>
                              <w:szCs w:val="72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</w:pPr>
                          <w:r w:rsidRPr="00DF3C7B">
                            <w:rPr>
                              <w:b/>
                              <w:sz w:val="72"/>
                              <w:szCs w:val="72"/>
                              <w14:shadow w14:blurRad="41275" w14:dist="12700" w14:dir="12000000" w14:sx="100000" w14:sy="100000" w14:kx="0" w14:ky="0" w14:algn="tl">
                                <w14:srgbClr w14:val="000000">
                                  <w14:alpha w14:val="60000"/>
                                </w14:srgbClr>
                              </w14:shadow>
                              <w14:textOutline w14:w="31546" w14:cap="flat" w14:cmpd="sng" w14:algn="ctr">
                                <w14:gradFill>
                                  <w14:gsLst>
                                    <w14:gs w14:pos="25000">
                                      <w14:schemeClr w14:val="accent1">
                                        <w14:shade w14:val="25000"/>
                                        <w14:satMod w14:val="190000"/>
                                      </w14:schemeClr>
                                    </w14:gs>
                                    <w14:gs w14:pos="80000">
                                      <w14:schemeClr w14:val="accent1">
                                        <w14:tint w14:val="75000"/>
                                        <w14:satMod w14:val="190000"/>
                                      </w14:schemeClr>
                                    </w14:gs>
                                  </w14:gsLst>
                                  <w14:lin w14:ang="5400000" w14:scaled="0"/>
                                </w14:gra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FFFFFF"/>
                                </w14:solidFill>
                              </w14:textFill>
                            </w:rPr>
                            <w:t>Pillar Outcomes: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645D48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6.25pt;margin-top:-11.25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" filled="f" stroked="f">
              <v:textbox style="mso-fit-shape-to-text:t">
                <w:txbxContent>
                  <w:p w:rsidR="00DF3C7B" w:rsidRPr="00DF3C7B" w:rsidRDefault="00DF3C7B" w:rsidP="00DF3C7B">
                    <w:pPr>
                      <w:pStyle w:val="Header"/>
                      <w:jc w:val="center"/>
                      <w:rPr>
                        <w:b/>
                        <w:sz w:val="72"/>
                        <w:szCs w:val="72"/>
                        <w14:shadow w14:blurRad="41275" w14:dist="12700" w14:dir="120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31546" w14:cap="flat" w14:cmpd="sng" w14:algn="ctr">
                          <w14:gradFill>
                            <w14:gsLst>
                              <w14:gs w14:pos="25000">
                                <w14:schemeClr w14:val="accent1">
                                  <w14:shade w14:val="25000"/>
                                  <w14:satMod w14:val="190000"/>
                                </w14:schemeClr>
                              </w14:gs>
                              <w14:gs w14:pos="80000">
                                <w14:schemeClr w14:val="accent1">
                                  <w14:tint w14:val="75000"/>
                                  <w14:satMod w14:val="19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</w:pPr>
                    <w:r w:rsidRPr="00DF3C7B">
                      <w:rPr>
                        <w:b/>
                        <w:sz w:val="72"/>
                        <w:szCs w:val="72"/>
                        <w14:shadow w14:blurRad="41275" w14:dist="12700" w14:dir="12000000" w14:sx="100000" w14:sy="100000" w14:kx="0" w14:ky="0" w14:algn="tl">
                          <w14:srgbClr w14:val="000000">
                            <w14:alpha w14:val="60000"/>
                          </w14:srgbClr>
                        </w14:shadow>
                        <w14:textOutline w14:w="31546" w14:cap="flat" w14:cmpd="sng" w14:algn="ctr">
                          <w14:gradFill>
                            <w14:gsLst>
                              <w14:gs w14:pos="25000">
                                <w14:schemeClr w14:val="accent1">
                                  <w14:shade w14:val="25000"/>
                                  <w14:satMod w14:val="190000"/>
                                </w14:schemeClr>
                              </w14:gs>
                              <w14:gs w14:pos="80000">
                                <w14:schemeClr w14:val="accent1">
                                  <w14:tint w14:val="75000"/>
                                  <w14:satMod w14:val="190000"/>
                                </w14:schemeClr>
                              </w14:gs>
                            </w14:gsLst>
                            <w14:lin w14:ang="5400000" w14:scaled="0"/>
                          </w14:gradFill>
                          <w14:prstDash w14:val="solid"/>
                          <w14:round/>
                        </w14:textOutline>
                        <w14:textFill>
                          <w14:solidFill>
                            <w14:srgbClr w14:val="FFFFFF"/>
                          </w14:solidFill>
                        </w14:textFill>
                      </w:rPr>
                      <w:t>Pillar Outcomes:</w:t>
                    </w:r>
                  </w:p>
                </w:txbxContent>
              </v:textbox>
              <w10:wrap type="squar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3C7B"/>
    <w:rsid w:val="000334C5"/>
    <w:rsid w:val="000E2CA1"/>
    <w:rsid w:val="00100646"/>
    <w:rsid w:val="003F720D"/>
    <w:rsid w:val="0043378B"/>
    <w:rsid w:val="009344B9"/>
    <w:rsid w:val="00C75C43"/>
    <w:rsid w:val="00DF3C7B"/>
    <w:rsid w:val="00F936AB"/>
    <w:rsid w:val="00FF4E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69513BE6-067A-46B6-B783-0BB9EFBB1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F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3C7B"/>
  </w:style>
  <w:style w:type="paragraph" w:styleId="Footer">
    <w:name w:val="footer"/>
    <w:basedOn w:val="Normal"/>
    <w:link w:val="FooterChar"/>
    <w:uiPriority w:val="99"/>
    <w:unhideWhenUsed/>
    <w:rsid w:val="00DF3C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3C7B"/>
  </w:style>
  <w:style w:type="character" w:customStyle="1" w:styleId="apple-converted-space">
    <w:name w:val="apple-converted-space"/>
    <w:basedOn w:val="DefaultParagraphFont"/>
    <w:rsid w:val="00DF3C7B"/>
  </w:style>
  <w:style w:type="character" w:styleId="Hyperlink">
    <w:name w:val="Hyperlink"/>
    <w:basedOn w:val="DefaultParagraphFont"/>
    <w:uiPriority w:val="99"/>
    <w:semiHidden/>
    <w:unhideWhenUsed/>
    <w:rsid w:val="00DF3C7B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936A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6A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374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29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6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28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11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dreads.com/author/show/5810891.Mahatma_Gandhi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goodreads.com/author/show/17435.Malcolm_X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odreads.com/author/show/3720.Anne_Frank" TargetMode="External"/><Relationship Id="rId11" Type="http://schemas.openxmlformats.org/officeDocument/2006/relationships/hyperlink" Target="https://www.goodreads.com/work/quotes/25086973" TargetMode="External"/><Relationship Id="rId5" Type="http://schemas.openxmlformats.org/officeDocument/2006/relationships/endnotes" Target="endnotes.xml"/><Relationship Id="rId10" Type="http://schemas.openxmlformats.org/officeDocument/2006/relationships/hyperlink" Target="https://www.goodreads.com/author/show/4491185.Steve_Maraboli" TargetMode="External"/><Relationship Id="rId4" Type="http://schemas.openxmlformats.org/officeDocument/2006/relationships/footnotes" Target="footnotes.xml"/><Relationship Id="rId9" Type="http://schemas.openxmlformats.org/officeDocument/2006/relationships/hyperlink" Target="https://www.goodreads.com/author/show/838305.Mother_Teres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341</Words>
  <Characters>1945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Rhae Lynne Figueroa</dc:creator>
  <cp:lastModifiedBy>John Michael Acedo Jr</cp:lastModifiedBy>
  <cp:revision>2</cp:revision>
  <cp:lastPrinted>2015-04-09T13:57:00Z</cp:lastPrinted>
  <dcterms:created xsi:type="dcterms:W3CDTF">2015-04-09T19:40:00Z</dcterms:created>
  <dcterms:modified xsi:type="dcterms:W3CDTF">2015-04-09T19:40:00Z</dcterms:modified>
</cp:coreProperties>
</file>