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F432D" w14:textId="24402D10" w:rsidR="003D2423" w:rsidRDefault="00E60E67" w:rsidP="003D24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05D2A63" wp14:editId="32C584C3">
            <wp:simplePos x="0" y="0"/>
            <wp:positionH relativeFrom="column">
              <wp:posOffset>19469</wp:posOffset>
            </wp:positionH>
            <wp:positionV relativeFrom="paragraph">
              <wp:posOffset>-321310</wp:posOffset>
            </wp:positionV>
            <wp:extent cx="952500" cy="10304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gearupICONLOGO w transparent background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30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10" w:rsidRPr="00AD7F11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F1E908" wp14:editId="4F4EE97A">
                <wp:simplePos x="0" y="0"/>
                <wp:positionH relativeFrom="column">
                  <wp:posOffset>3333750</wp:posOffset>
                </wp:positionH>
                <wp:positionV relativeFrom="paragraph">
                  <wp:posOffset>-161290</wp:posOffset>
                </wp:positionV>
                <wp:extent cx="2685415" cy="809625"/>
                <wp:effectExtent l="0" t="0" r="63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27097" w14:textId="77777777" w:rsidR="002F2097" w:rsidRDefault="00AD7F11" w:rsidP="00AD7F11">
                            <w:pPr>
                              <w:contextualSpacing/>
                              <w:jc w:val="right"/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</w:rPr>
                            </w:pPr>
                            <w:r w:rsidRPr="00AD7F11"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</w:rPr>
                              <w:t>College/Career Readiness &amp; Awareness Rubric</w:t>
                            </w:r>
                            <w:r w:rsidR="002F2097"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</w:rPr>
                              <w:t xml:space="preserve"> – </w:t>
                            </w:r>
                          </w:p>
                          <w:p w14:paraId="589ECDCE" w14:textId="1DEC63EE" w:rsidR="00AD7F11" w:rsidRPr="00AD7F11" w:rsidRDefault="002F2097" w:rsidP="00AD7F11">
                            <w:pPr>
                              <w:contextualSpacing/>
                              <w:jc w:val="right"/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</w:rPr>
                              <w:t>Middle Grades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1E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5pt;margin-top:-12.7pt;width:211.4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" stroked="f">
                <v:textbox>
                  <w:txbxContent>
                    <w:p w14:paraId="10C27097" w14:textId="77777777" w:rsidR="002F2097" w:rsidRDefault="00AD7F11" w:rsidP="00AD7F11">
                      <w:pPr>
                        <w:contextualSpacing/>
                        <w:jc w:val="right"/>
                        <w:rPr>
                          <w:rFonts w:ascii="Century Gothic" w:hAnsi="Century Gothic"/>
                          <w:b/>
                          <w:color w:val="002060"/>
                          <w:sz w:val="28"/>
                        </w:rPr>
                      </w:pPr>
                      <w:r w:rsidRPr="00AD7F11">
                        <w:rPr>
                          <w:rFonts w:ascii="Century Gothic" w:hAnsi="Century Gothic"/>
                          <w:b/>
                          <w:color w:val="002060"/>
                          <w:sz w:val="28"/>
                        </w:rPr>
                        <w:t>College/Career Readiness &amp; Awareness Rubric</w:t>
                      </w:r>
                      <w:r w:rsidR="002F2097">
                        <w:rPr>
                          <w:rFonts w:ascii="Century Gothic" w:hAnsi="Century Gothic"/>
                          <w:b/>
                          <w:color w:val="002060"/>
                          <w:sz w:val="28"/>
                        </w:rPr>
                        <w:t xml:space="preserve"> – </w:t>
                      </w:r>
                    </w:p>
                    <w:p w14:paraId="589ECDCE" w14:textId="1DEC63EE" w:rsidR="00AD7F11" w:rsidRPr="00AD7F11" w:rsidRDefault="002F2097" w:rsidP="00AD7F11">
                      <w:pPr>
                        <w:contextualSpacing/>
                        <w:jc w:val="right"/>
                        <w:rPr>
                          <w:rFonts w:ascii="Century Gothic" w:hAnsi="Century Gothic"/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2060"/>
                          <w:sz w:val="28"/>
                        </w:rPr>
                        <w:t>Middle Grades</w:t>
                      </w:r>
                    </w:p>
                  </w:txbxContent>
                </v:textbox>
              </v:shape>
            </w:pict>
          </mc:Fallback>
        </mc:AlternateContent>
      </w:r>
    </w:p>
    <w:p w14:paraId="1E543181" w14:textId="4FEF7FDF" w:rsidR="004A57D2" w:rsidRDefault="004A57D2" w:rsidP="003D24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AE4721" w14:textId="5E82FB37" w:rsidR="00090F61" w:rsidRPr="002F2097" w:rsidRDefault="00090F61" w:rsidP="00790410">
      <w:pPr>
        <w:tabs>
          <w:tab w:val="left" w:pos="945"/>
          <w:tab w:val="center" w:pos="4680"/>
        </w:tabs>
        <w:jc w:val="both"/>
        <w:rPr>
          <w:rFonts w:cstheme="minorHAnsi"/>
        </w:rPr>
      </w:pPr>
      <w:r w:rsidRPr="002F2097">
        <w:rPr>
          <w:rFonts w:cstheme="minorHAnsi"/>
          <w:b/>
        </w:rPr>
        <w:t xml:space="preserve">Instructions: </w:t>
      </w:r>
      <w:r w:rsidR="002F2097" w:rsidRPr="002F2097">
        <w:rPr>
          <w:rFonts w:cstheme="minorHAnsi"/>
        </w:rPr>
        <w:t>School staff</w:t>
      </w:r>
      <w:r w:rsidR="002F2097">
        <w:rPr>
          <w:rFonts w:cstheme="minorHAnsi"/>
        </w:rPr>
        <w:t xml:space="preserve"> (administrators, teachers, paraprofessionals, service professionals and staff) are to rate the aspects of the school’s culture listed in the table below according to their perception/experience o</w:t>
      </w:r>
      <w:r w:rsidR="00790410">
        <w:rPr>
          <w:rFonts w:cstheme="minorHAnsi"/>
        </w:rPr>
        <w:t>f how well the school is doing (</w:t>
      </w:r>
      <w:proofErr w:type="gramStart"/>
      <w:r w:rsidR="002F2097">
        <w:rPr>
          <w:rFonts w:cstheme="minorHAnsi"/>
        </w:rPr>
        <w:t>1</w:t>
      </w:r>
      <w:proofErr w:type="gramEnd"/>
      <w:r w:rsidR="002F2097">
        <w:rPr>
          <w:rFonts w:cstheme="minorHAnsi"/>
        </w:rPr>
        <w:t xml:space="preserve"> </w:t>
      </w:r>
      <w:r w:rsidR="00790410">
        <w:rPr>
          <w:rFonts w:cstheme="minorHAnsi"/>
        </w:rPr>
        <w:t>=</w:t>
      </w:r>
      <w:r w:rsidR="002F2097">
        <w:rPr>
          <w:rFonts w:cstheme="minorHAnsi"/>
        </w:rPr>
        <w:t xml:space="preserve"> “we are not doing this”</w:t>
      </w:r>
      <w:r w:rsidR="00790410">
        <w:rPr>
          <w:rFonts w:cstheme="minorHAnsi"/>
        </w:rPr>
        <w:t xml:space="preserve">; </w:t>
      </w:r>
      <w:r w:rsidR="002F2097">
        <w:rPr>
          <w:rFonts w:cstheme="minorHAnsi"/>
        </w:rPr>
        <w:t xml:space="preserve">2 </w:t>
      </w:r>
      <w:r w:rsidR="00790410">
        <w:rPr>
          <w:rFonts w:cstheme="minorHAnsi"/>
        </w:rPr>
        <w:t>=</w:t>
      </w:r>
      <w:r w:rsidR="002F2097">
        <w:rPr>
          <w:rFonts w:cstheme="minorHAnsi"/>
        </w:rPr>
        <w:t xml:space="preserve"> “we are doing this but could be doing better”</w:t>
      </w:r>
      <w:r w:rsidR="00790410">
        <w:rPr>
          <w:rFonts w:cstheme="minorHAnsi"/>
        </w:rPr>
        <w:t xml:space="preserve">; and </w:t>
      </w:r>
      <w:r w:rsidR="002F2097">
        <w:rPr>
          <w:rFonts w:cstheme="minorHAnsi"/>
        </w:rPr>
        <w:t xml:space="preserve">3 </w:t>
      </w:r>
      <w:r w:rsidR="00790410">
        <w:rPr>
          <w:rFonts w:cstheme="minorHAnsi"/>
        </w:rPr>
        <w:t>=</w:t>
      </w:r>
      <w:r w:rsidR="002F2097">
        <w:rPr>
          <w:rFonts w:cstheme="minorHAnsi"/>
        </w:rPr>
        <w:t xml:space="preserve"> “we do this well.”</w:t>
      </w:r>
      <w:r w:rsidR="00E60E67">
        <w:rPr>
          <w:rFonts w:cstheme="minorHAnsi"/>
        </w:rPr>
        <w:t>)</w:t>
      </w:r>
      <w:r w:rsidR="002F2097">
        <w:rPr>
          <w:rFonts w:cstheme="minorHAnsi"/>
        </w:rPr>
        <w:t xml:space="preserve">  Responses can be anonymous and </w:t>
      </w:r>
      <w:proofErr w:type="gramStart"/>
      <w:r w:rsidR="002F2097">
        <w:rPr>
          <w:rFonts w:cstheme="minorHAnsi"/>
        </w:rPr>
        <w:t>should be turned in</w:t>
      </w:r>
      <w:proofErr w:type="gramEnd"/>
      <w:r w:rsidR="002F2097">
        <w:rPr>
          <w:rFonts w:cstheme="minorHAnsi"/>
        </w:rPr>
        <w:t xml:space="preserve"> as instructed by the </w:t>
      </w:r>
      <w:r w:rsidR="00790410">
        <w:rPr>
          <w:rFonts w:cstheme="minorHAnsi"/>
        </w:rPr>
        <w:t>Rubric Administrator. The Rubric A</w:t>
      </w:r>
      <w:r w:rsidR="002F2097">
        <w:rPr>
          <w:rFonts w:cstheme="minorHAnsi"/>
        </w:rPr>
        <w:t xml:space="preserve">dministrator, or designee, tallies the scores from all respondents, </w:t>
      </w:r>
      <w:proofErr w:type="gramStart"/>
      <w:r w:rsidR="002F2097">
        <w:rPr>
          <w:rFonts w:cstheme="minorHAnsi"/>
        </w:rPr>
        <w:t>then</w:t>
      </w:r>
      <w:proofErr w:type="gramEnd"/>
      <w:r w:rsidR="002F2097">
        <w:rPr>
          <w:rFonts w:cstheme="minorHAnsi"/>
        </w:rPr>
        <w:t xml:space="preserve"> facilitates an all-staff discussion of the results, culminating in a plan for action to implement changes as needed. </w:t>
      </w:r>
      <w:r w:rsidR="00790410">
        <w:rPr>
          <w:rFonts w:cstheme="minorHAnsi"/>
        </w:rPr>
        <w:t xml:space="preserve">Arizona GEAR UP’s </w:t>
      </w:r>
      <w:r w:rsidR="00790410" w:rsidRPr="00790410">
        <w:rPr>
          <w:rFonts w:cstheme="minorHAnsi"/>
          <w:i/>
        </w:rPr>
        <w:t>Strategies &amp; Activities for Building a College-Going Cultur</w:t>
      </w:r>
      <w:r w:rsidR="00790410">
        <w:rPr>
          <w:rFonts w:cstheme="minorHAnsi"/>
        </w:rPr>
        <w:t>e is available on-line (nau.edu/</w:t>
      </w:r>
      <w:proofErr w:type="spellStart"/>
      <w:r w:rsidR="00790410">
        <w:rPr>
          <w:rFonts w:cstheme="minorHAnsi"/>
        </w:rPr>
        <w:t>gearup</w:t>
      </w:r>
      <w:proofErr w:type="spellEnd"/>
      <w:r w:rsidR="00790410">
        <w:rPr>
          <w:rFonts w:cstheme="minorHAnsi"/>
        </w:rPr>
        <w:t>) to facilitate this</w:t>
      </w:r>
      <w:r w:rsidR="002F2097">
        <w:rPr>
          <w:rFonts w:cstheme="minorHAnsi"/>
        </w:rPr>
        <w:t xml:space="preserve"> discussion and creatio</w:t>
      </w:r>
      <w:r w:rsidR="00790410">
        <w:rPr>
          <w:rFonts w:cstheme="minorHAnsi"/>
        </w:rPr>
        <w:t>n of a plan for action.</w:t>
      </w:r>
    </w:p>
    <w:tbl>
      <w:tblPr>
        <w:tblW w:w="5003" w:type="pct"/>
        <w:tblLayout w:type="fixed"/>
        <w:tblLook w:val="04A0" w:firstRow="1" w:lastRow="0" w:firstColumn="1" w:lastColumn="0" w:noHBand="0" w:noVBand="1"/>
      </w:tblPr>
      <w:tblGrid>
        <w:gridCol w:w="3324"/>
        <w:gridCol w:w="1982"/>
        <w:gridCol w:w="2070"/>
        <w:gridCol w:w="1980"/>
      </w:tblGrid>
      <w:tr w:rsidR="00C8223B" w:rsidRPr="00790410" w14:paraId="5EB84B95" w14:textId="77777777" w:rsidTr="000D72D4">
        <w:trPr>
          <w:trHeight w:val="630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5084BCC" w14:textId="77777777" w:rsidR="00C8223B" w:rsidRPr="00790410" w:rsidRDefault="00C8223B" w:rsidP="003D242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sz w:val="20"/>
                <w:szCs w:val="20"/>
              </w:rPr>
              <w:t>1. Visibility &amp; Student Resources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0BC1B" w14:textId="19199876" w:rsidR="00C8223B" w:rsidRPr="00790410" w:rsidRDefault="00C8223B" w:rsidP="003D2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 are not doing this in our school.</w:t>
            </w: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D4055" w14:textId="0A23F92B" w:rsidR="00C8223B" w:rsidRPr="00790410" w:rsidRDefault="00C8223B" w:rsidP="003D2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 are doing this but could be doing better.</w:t>
            </w: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9E5A1" w14:textId="3B161AA8" w:rsidR="00C8223B" w:rsidRPr="00790410" w:rsidRDefault="00C8223B" w:rsidP="003D2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 do this well in our school.</w:t>
            </w: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3</w:t>
            </w:r>
          </w:p>
        </w:tc>
      </w:tr>
      <w:tr w:rsidR="00C8223B" w:rsidRPr="00790410" w14:paraId="4034AFFC" w14:textId="77777777" w:rsidTr="000D72D4">
        <w:trPr>
          <w:trHeight w:val="67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F38858B" w14:textId="2A8E7FFC" w:rsidR="00C8223B" w:rsidRPr="00790410" w:rsidRDefault="00C8223B" w:rsidP="00E60E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a. The importance of postsecondary education </w:t>
            </w:r>
            <w:proofErr w:type="gramStart"/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is communicated</w:t>
            </w:r>
            <w:proofErr w:type="gramEnd"/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throughout the school.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0D59" w14:textId="2B9249F5" w:rsidR="00C8223B" w:rsidRPr="00790410" w:rsidRDefault="00C8223B" w:rsidP="003D2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DFBB" w14:textId="07F05FA7" w:rsidR="00C8223B" w:rsidRPr="00790410" w:rsidRDefault="00C8223B" w:rsidP="003D2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DEF3" w14:textId="4E11477D" w:rsidR="00C8223B" w:rsidRPr="00790410" w:rsidRDefault="00C8223B" w:rsidP="003D2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223B" w:rsidRPr="00790410" w14:paraId="77506B69" w14:textId="77777777" w:rsidTr="000D72D4">
        <w:trPr>
          <w:trHeight w:val="638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0503EFF" w14:textId="3A0CE626" w:rsidR="00C8223B" w:rsidRPr="00790410" w:rsidRDefault="00C8223B" w:rsidP="003D24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b. College pennants, banners, and posters are visible in most classrooms and common areas.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9E6B" w14:textId="4545E7FF" w:rsidR="00C8223B" w:rsidRPr="00790410" w:rsidRDefault="00C8223B" w:rsidP="003D2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4A49" w14:textId="036E9B3B" w:rsidR="00C8223B" w:rsidRPr="00790410" w:rsidRDefault="00C8223B" w:rsidP="003D2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9D13" w14:textId="262C1000" w:rsidR="00C8223B" w:rsidRPr="00790410" w:rsidRDefault="00C8223B" w:rsidP="003D2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223B" w:rsidRPr="00790410" w14:paraId="5E45C5CD" w14:textId="77777777" w:rsidTr="000D72D4">
        <w:trPr>
          <w:trHeight w:val="6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335901B" w14:textId="467A6031" w:rsidR="00C8223B" w:rsidRPr="00790410" w:rsidRDefault="00C8223B" w:rsidP="003D24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c. College-related information and resources are regularly updated and readily available in centralized places.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4A7B" w14:textId="35DE6B46" w:rsidR="00C8223B" w:rsidRPr="00790410" w:rsidRDefault="00C8223B" w:rsidP="003D2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0F06" w14:textId="691A6D42" w:rsidR="00C8223B" w:rsidRPr="00790410" w:rsidRDefault="00C8223B" w:rsidP="003D2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37D0" w14:textId="25E1F901" w:rsidR="00C8223B" w:rsidRPr="00790410" w:rsidRDefault="00C8223B" w:rsidP="003D2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223B" w:rsidRPr="00790410" w14:paraId="0ADB596A" w14:textId="77777777" w:rsidTr="000D72D4">
        <w:trPr>
          <w:trHeight w:val="791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C22FAD" w14:textId="22F78844" w:rsidR="00C8223B" w:rsidRPr="00790410" w:rsidRDefault="00C8223B" w:rsidP="005505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d. Teachers include visual cues to encourage discussions about their college experience with their students (e.g., </w:t>
            </w:r>
            <w:r w:rsidR="0055051F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displaying</w:t>
            </w: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their college degrees).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D065" w14:textId="75FCBD09" w:rsidR="00C8223B" w:rsidRPr="00790410" w:rsidRDefault="00C8223B" w:rsidP="003D2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96A5" w14:textId="3B84F020" w:rsidR="00C8223B" w:rsidRPr="00790410" w:rsidRDefault="00C8223B" w:rsidP="003D2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1DC6" w14:textId="30C61E4B" w:rsidR="00C8223B" w:rsidRPr="00790410" w:rsidRDefault="00C8223B" w:rsidP="003D2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30B0822" w14:textId="77777777" w:rsidR="001B4151" w:rsidRDefault="001B4151" w:rsidP="001B4151">
      <w:pPr>
        <w:spacing w:after="0" w:line="240" w:lineRule="auto"/>
        <w:jc w:val="center"/>
      </w:pPr>
    </w:p>
    <w:tbl>
      <w:tblPr>
        <w:tblW w:w="5005" w:type="pct"/>
        <w:tblLayout w:type="fixed"/>
        <w:tblLook w:val="04A0" w:firstRow="1" w:lastRow="0" w:firstColumn="1" w:lastColumn="0" w:noHBand="0" w:noVBand="1"/>
      </w:tblPr>
      <w:tblGrid>
        <w:gridCol w:w="2878"/>
        <w:gridCol w:w="444"/>
        <w:gridCol w:w="1217"/>
        <w:gridCol w:w="500"/>
        <w:gridCol w:w="266"/>
        <w:gridCol w:w="895"/>
        <w:gridCol w:w="1001"/>
        <w:gridCol w:w="174"/>
        <w:gridCol w:w="485"/>
        <w:gridCol w:w="1499"/>
      </w:tblGrid>
      <w:tr w:rsidR="00C8223B" w:rsidRPr="00790410" w14:paraId="78B4CE49" w14:textId="77777777" w:rsidTr="00E60E67">
        <w:trPr>
          <w:trHeight w:val="675"/>
        </w:trPr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8B84F8D" w14:textId="4D42F95F" w:rsidR="00C8223B" w:rsidRPr="00790410" w:rsidRDefault="00C8223B" w:rsidP="000D72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2. </w:t>
            </w:r>
            <w:r w:rsidR="00022260" w:rsidRPr="00790410">
              <w:rPr>
                <w:rFonts w:eastAsia="Times New Roman" w:cstheme="minorHAnsi"/>
                <w:b/>
                <w:bCs/>
                <w:sz w:val="20"/>
                <w:szCs w:val="20"/>
              </w:rPr>
              <w:t>Strateg</w:t>
            </w:r>
            <w:r w:rsidR="000D72D4">
              <w:rPr>
                <w:rFonts w:eastAsia="Times New Roman" w:cstheme="minorHAnsi"/>
                <w:b/>
                <w:bCs/>
                <w:sz w:val="20"/>
                <w:szCs w:val="20"/>
              </w:rPr>
              <w:t>ic Implementation</w:t>
            </w:r>
            <w:r w:rsidR="00022260" w:rsidRPr="0079041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and Evaluation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0BBC6" w14:textId="53D5378D" w:rsidR="00C8223B" w:rsidRPr="00790410" w:rsidRDefault="00C8223B" w:rsidP="003D2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 are not doing this in our school.</w:t>
            </w: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075D2" w14:textId="45F1BDE4" w:rsidR="00C8223B" w:rsidRPr="00790410" w:rsidRDefault="00C8223B" w:rsidP="003D2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 are doing this but could be doing better.</w:t>
            </w: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4B96E" w14:textId="5BFE2CBB" w:rsidR="00C8223B" w:rsidRPr="00790410" w:rsidRDefault="00C8223B" w:rsidP="003D24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 do this well in our school.</w:t>
            </w: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3</w:t>
            </w:r>
          </w:p>
        </w:tc>
      </w:tr>
      <w:tr w:rsidR="00C8223B" w:rsidRPr="00790410" w14:paraId="664956E4" w14:textId="77777777" w:rsidTr="00E60E67">
        <w:trPr>
          <w:trHeight w:val="225"/>
        </w:trPr>
        <w:tc>
          <w:tcPr>
            <w:tcW w:w="17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5AADB2" w14:textId="52C19E9A" w:rsidR="00C8223B" w:rsidRPr="00790410" w:rsidRDefault="00C8223B" w:rsidP="002477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a. </w:t>
            </w:r>
            <w:r w:rsidR="00247736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Our</w:t>
            </w: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school sets goals or benchmarks for improving Early College/Career Readiness &amp; Awareness and reports regularly on progress to educators, staff members, and administrators.</w:t>
            </w:r>
          </w:p>
        </w:tc>
        <w:tc>
          <w:tcPr>
            <w:tcW w:w="10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6425" w14:textId="7CC93CE5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E185" w14:textId="4C0F29F3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6B61" w14:textId="7BECF20F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223B" w:rsidRPr="00790410" w14:paraId="54AF7820" w14:textId="77777777" w:rsidTr="00E60E67">
        <w:trPr>
          <w:trHeight w:val="630"/>
        </w:trPr>
        <w:tc>
          <w:tcPr>
            <w:tcW w:w="17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6974FA2" w14:textId="1AA3BC90" w:rsidR="00C8223B" w:rsidRPr="00790410" w:rsidRDefault="00C8223B" w:rsidP="00C8223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b. </w:t>
            </w:r>
            <w:r w:rsidR="00247736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Our</w:t>
            </w: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school engages all stakeholders (e.g., students, educators, parents) in creating a college-going culture.</w:t>
            </w:r>
          </w:p>
        </w:tc>
        <w:tc>
          <w:tcPr>
            <w:tcW w:w="10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B56C" w14:textId="20ACEE76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B338" w14:textId="4F202EB6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5404" w14:textId="4F32136D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223B" w:rsidRPr="00790410" w14:paraId="17C0AAF5" w14:textId="77777777" w:rsidTr="00E60E67">
        <w:trPr>
          <w:trHeight w:val="998"/>
        </w:trPr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AA055AA" w14:textId="1F3E2A24" w:rsidR="00C8223B" w:rsidRPr="00790410" w:rsidRDefault="00C8223B" w:rsidP="00C822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c. </w:t>
            </w:r>
            <w:r w:rsidR="00247736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Our</w:t>
            </w: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school sponsors or provides professional development on topics of Early College/Career Readiness &amp; Awareness.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4622" w14:textId="0C1E43B2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44FE" w14:textId="5E3AAD7C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986C" w14:textId="2544DF63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0E67" w:rsidRPr="00790410" w14:paraId="5CFDF6E1" w14:textId="77777777" w:rsidTr="00E60E67">
        <w:trPr>
          <w:trHeight w:val="630"/>
        </w:trPr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D022BFC" w14:textId="77C78A27" w:rsidR="00E60E67" w:rsidRPr="00790410" w:rsidRDefault="00E60E67" w:rsidP="00E60E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b. Our school regularly evaluates Early College/Career Readiness &amp; Awareness efforts, and reports findings to educators, staff, administrators, and parents.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14FA" w14:textId="77777777" w:rsidR="00E60E67" w:rsidRPr="00790410" w:rsidRDefault="00E60E67" w:rsidP="00E60E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77A9" w14:textId="77777777" w:rsidR="00E60E67" w:rsidRPr="00790410" w:rsidRDefault="00E60E67" w:rsidP="00E60E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7B1E" w14:textId="77777777" w:rsidR="00E60E67" w:rsidRPr="00790410" w:rsidRDefault="00E60E67" w:rsidP="00E60E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223B" w:rsidRPr="00790410" w14:paraId="3DAF73F3" w14:textId="77777777" w:rsidTr="00E60E67">
        <w:trPr>
          <w:trHeight w:val="84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7455B56" w14:textId="77777777" w:rsidR="00C8223B" w:rsidRPr="00790410" w:rsidRDefault="00C8223B" w:rsidP="00C8223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sz w:val="20"/>
                <w:szCs w:val="20"/>
              </w:rPr>
              <w:t>3. Inclusiveness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DEF99" w14:textId="6149C3CA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 are not doing this in our school.</w:t>
            </w: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D9614" w14:textId="39C12643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 are doing this but could be doing better.</w:t>
            </w: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33A68" w14:textId="2233D46E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 do this well in our school.</w:t>
            </w: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3</w:t>
            </w:r>
          </w:p>
        </w:tc>
      </w:tr>
      <w:tr w:rsidR="00C8223B" w:rsidRPr="00790410" w14:paraId="4CF70DB9" w14:textId="77777777" w:rsidTr="00E60E67">
        <w:trPr>
          <w:trHeight w:val="44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00099F" w14:textId="083AE625" w:rsidR="00C8223B" w:rsidRPr="00790410" w:rsidRDefault="00C8223B" w:rsidP="005505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a. 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Our school tries to expose </w:t>
            </w:r>
            <w:r w:rsidR="0055051F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all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students to a variety of postsecondary options</w:t>
            </w: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D229" w14:textId="66556FAE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279D" w14:textId="26A36B3B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9F21" w14:textId="0017A862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223B" w:rsidRPr="00790410" w14:paraId="133F4580" w14:textId="77777777" w:rsidTr="00E60E67">
        <w:trPr>
          <w:trHeight w:val="80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CD65AF5" w14:textId="5B7D69A6" w:rsidR="00C8223B" w:rsidRPr="00790410" w:rsidRDefault="00C8223B" w:rsidP="00E60E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b. 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Educators, administrators, and staff extend information about postsecondary opportunities and engage in college talk with all students</w:t>
            </w: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404D" w14:textId="2BA4BCDE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6E8B" w14:textId="7D25BBDB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702F" w14:textId="76AA44FE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223B" w:rsidRPr="00790410" w14:paraId="49D97358" w14:textId="77777777" w:rsidTr="00E60E67">
        <w:trPr>
          <w:trHeight w:val="98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5A0C73" w14:textId="754AE85B" w:rsidR="00C8223B" w:rsidRPr="00790410" w:rsidRDefault="00C8223B" w:rsidP="00E60E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c. 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Educators, administrators, and staff members encourage and counsel all students about the importance of education and training beyond high school.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8687" w14:textId="2E7C76C2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8823" w14:textId="76B23A88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8F2A" w14:textId="69EE514F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223B" w:rsidRPr="00790410" w14:paraId="5AF0D7B2" w14:textId="77777777" w:rsidTr="00E60E67">
        <w:trPr>
          <w:trHeight w:val="67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62AC259" w14:textId="63A04CB6" w:rsidR="00C8223B" w:rsidRPr="00790410" w:rsidRDefault="00C8223B" w:rsidP="00E60E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d. </w:t>
            </w:r>
            <w:r w:rsidR="0055051F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All s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tuden</w:t>
            </w:r>
            <w:r w:rsidR="00E60E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ts are guided in completing </w:t>
            </w:r>
            <w:proofErr w:type="gramStart"/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ECAPs which</w:t>
            </w:r>
            <w:proofErr w:type="gramEnd"/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are </w:t>
            </w:r>
            <w:r w:rsidR="00E60E67">
              <w:rPr>
                <w:rFonts w:eastAsia="Times New Roman" w:cstheme="minorHAnsi"/>
                <w:color w:val="000000"/>
                <w:sz w:val="20"/>
                <w:szCs w:val="20"/>
              </w:rPr>
              <w:t>referenced during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high school registration.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9FD5" w14:textId="0B4CF00F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D81" w14:textId="1BD9BDA4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9083" w14:textId="77E4B3FC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2117" w:rsidRPr="00790410" w14:paraId="5911E959" w14:textId="77777777" w:rsidTr="00E60E67">
        <w:trPr>
          <w:trHeight w:val="67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BE0718C" w14:textId="64A636D2" w:rsidR="004D2117" w:rsidRPr="00790410" w:rsidRDefault="004D2117" w:rsidP="004D211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e. Every student has at least one adult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in our school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who they feels cares about them personally. 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BD35" w14:textId="77777777" w:rsidR="004D2117" w:rsidRPr="00790410" w:rsidRDefault="004D2117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80AE" w14:textId="77777777" w:rsidR="004D2117" w:rsidRPr="00790410" w:rsidRDefault="004D2117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78AA" w14:textId="77777777" w:rsidR="004D2117" w:rsidRPr="00790410" w:rsidRDefault="004D2117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223B" w:rsidRPr="00790410" w14:paraId="7ABBF586" w14:textId="77777777" w:rsidTr="00E60E67">
        <w:trPr>
          <w:gridAfter w:val="1"/>
          <w:wAfter w:w="801" w:type="pct"/>
          <w:trHeight w:val="225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AA48" w14:textId="77777777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1835E" w14:textId="77777777" w:rsidR="00C8223B" w:rsidRPr="00790410" w:rsidRDefault="00C8223B" w:rsidP="00C822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9869E" w14:textId="77777777" w:rsidR="00C8223B" w:rsidRPr="00790410" w:rsidRDefault="00C8223B" w:rsidP="00C822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0A3A" w14:textId="77777777" w:rsidR="00C8223B" w:rsidRPr="00790410" w:rsidRDefault="00C8223B" w:rsidP="00C822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8223B" w:rsidRPr="00790410" w14:paraId="2E640685" w14:textId="77777777" w:rsidTr="00E60E67">
        <w:trPr>
          <w:trHeight w:val="63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7C71968" w14:textId="77777777" w:rsidR="00C8223B" w:rsidRPr="00790410" w:rsidRDefault="00C8223B" w:rsidP="00C8223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4. Academics 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66AD8" w14:textId="26465599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 are not doing this in our school.</w:t>
            </w: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DC5EB" w14:textId="2B3E4D4E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 are doing this but could be doing better.</w:t>
            </w: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EC653" w14:textId="7B2C3ED0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 do this well in our school.</w:t>
            </w: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3</w:t>
            </w:r>
          </w:p>
        </w:tc>
      </w:tr>
      <w:tr w:rsidR="00C8223B" w:rsidRPr="00790410" w14:paraId="28E24FE3" w14:textId="77777777" w:rsidTr="00E60E67">
        <w:trPr>
          <w:trHeight w:val="82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E5AE226" w14:textId="41991A58" w:rsidR="00C8223B" w:rsidRPr="00790410" w:rsidRDefault="00C8223B" w:rsidP="006A69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a. 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Academics </w:t>
            </w:r>
            <w:proofErr w:type="gramStart"/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are recognized</w:t>
            </w:r>
            <w:proofErr w:type="gramEnd"/>
            <w:r w:rsidR="00247736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as the number one priority in 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our school and academic </w:t>
            </w:r>
            <w:r w:rsidR="006A690F">
              <w:rPr>
                <w:rFonts w:eastAsia="Times New Roman" w:cstheme="minorHAnsi"/>
                <w:color w:val="000000"/>
                <w:sz w:val="20"/>
                <w:szCs w:val="20"/>
              </w:rPr>
              <w:t>effort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is considered a universal point of pride.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B0BD" w14:textId="2DC2DBE0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E978" w14:textId="62E95DDD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A43E" w14:textId="21A21AC3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223B" w:rsidRPr="00790410" w14:paraId="6B4BFC6B" w14:textId="77777777" w:rsidTr="00E60E67">
        <w:trPr>
          <w:trHeight w:val="675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D1F92CE" w14:textId="756FE35A" w:rsidR="00C8223B" w:rsidRPr="00790410" w:rsidRDefault="00C8223B" w:rsidP="00C822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b. 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All students are encouraged to challenge themselves academically and </w:t>
            </w:r>
            <w:r w:rsidR="006A69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to 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take rigorous course work.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AC6D" w14:textId="28A7D99D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7EED" w14:textId="0B6479F8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462D" w14:textId="2779EC21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223B" w:rsidRPr="00790410" w14:paraId="29A086DD" w14:textId="77777777" w:rsidTr="00E60E67">
        <w:trPr>
          <w:trHeight w:val="85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D1F7BD2" w14:textId="359AB945" w:rsidR="00C8223B" w:rsidRPr="00790410" w:rsidRDefault="00C8223B" w:rsidP="005505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c. 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All students are expec</w:t>
            </w:r>
            <w:r w:rsidR="00E33077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ted to pursue some form of post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secondary education and </w:t>
            </w:r>
            <w:proofErr w:type="gramStart"/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that expectation is conveyed clearly </w:t>
            </w:r>
            <w:r w:rsidR="0055051F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by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school personnel</w:t>
            </w:r>
            <w:proofErr w:type="gramEnd"/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174F" w14:textId="5A51DB83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FA61" w14:textId="1AD78D3B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3C6C" w14:textId="4A54308E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223B" w:rsidRPr="00790410" w14:paraId="1BBAFE31" w14:textId="77777777" w:rsidTr="00E60E67">
        <w:trPr>
          <w:trHeight w:val="6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6298DD" w14:textId="4FC5450C" w:rsidR="00C8223B" w:rsidRPr="00790410" w:rsidRDefault="00C8223B" w:rsidP="00C822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d. 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Early College/Career</w:t>
            </w:r>
            <w:proofErr w:type="gramEnd"/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Readiness &amp; Awareness activities are integrated into regular coursework.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222F" w14:textId="6EC5C705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655A" w14:textId="0625AF61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0656" w14:textId="115F0A95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223B" w:rsidRPr="00790410" w14:paraId="4C0FCCC3" w14:textId="77777777" w:rsidTr="00E60E67">
        <w:trPr>
          <w:trHeight w:val="90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FB66607" w14:textId="7CB5C6F4" w:rsidR="00C8223B" w:rsidRPr="00790410" w:rsidRDefault="00C8223B" w:rsidP="00C822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e. 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Student work is highly visible in the school and there are opportunities to </w:t>
            </w:r>
            <w:proofErr w:type="gramStart"/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showcase</w:t>
            </w:r>
            <w:proofErr w:type="gramEnd"/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 wide variety of learning experiences.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1EA4" w14:textId="5397AA65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5C68" w14:textId="6E1FC363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F206" w14:textId="34710028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223B" w:rsidRPr="00790410" w14:paraId="4ADFCAD1" w14:textId="77777777" w:rsidTr="00E60E67">
        <w:trPr>
          <w:trHeight w:val="53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52F3E1E" w14:textId="21413CC4" w:rsidR="00C8223B" w:rsidRPr="00790410" w:rsidRDefault="00C8223B" w:rsidP="00C822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f. 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Academic support is available to ensure that all students have the opportunity to succeed in rigorous courses.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C03E" w14:textId="186371DF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DEF8" w14:textId="0CB1B46D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9EC4" w14:textId="7C70C139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223B" w:rsidRPr="00790410" w14:paraId="77429047" w14:textId="77777777" w:rsidTr="00E60E67">
        <w:trPr>
          <w:trHeight w:val="63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54533B0" w14:textId="77777777" w:rsidR="00C8223B" w:rsidRPr="00790410" w:rsidRDefault="00C8223B" w:rsidP="00C8223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sz w:val="20"/>
                <w:szCs w:val="20"/>
              </w:rPr>
              <w:t>5. Family and Community Support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CCCB0" w14:textId="0FE6B0D2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 are not doing this in our school.</w:t>
            </w: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56F8E" w14:textId="26F8253C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 are doing this but could be doing better.</w:t>
            </w: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5588C" w14:textId="16557033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 do this well in our school.</w:t>
            </w: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3</w:t>
            </w:r>
          </w:p>
        </w:tc>
      </w:tr>
      <w:tr w:rsidR="00C8223B" w:rsidRPr="00790410" w14:paraId="3FB7373B" w14:textId="77777777" w:rsidTr="00E60E67">
        <w:trPr>
          <w:trHeight w:val="64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FA5DE0A" w14:textId="1452C50F" w:rsidR="00C8223B" w:rsidRPr="00790410" w:rsidRDefault="00C8223B" w:rsidP="00C822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a. 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Our school encourages family members to visit and discuss their child's education.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155A" w14:textId="1B1241F3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F0DE" w14:textId="3533B0CC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3FF4" w14:textId="3A143B4C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223B" w:rsidRPr="00790410" w14:paraId="2C060E39" w14:textId="77777777" w:rsidTr="00E60E67">
        <w:trPr>
          <w:trHeight w:val="80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CEA4B4" w14:textId="277C0EBD" w:rsidR="00C8223B" w:rsidRPr="00790410" w:rsidRDefault="00C8223B" w:rsidP="00C822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b. 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Community leaders </w:t>
            </w:r>
            <w:proofErr w:type="gramStart"/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are invited</w:t>
            </w:r>
            <w:proofErr w:type="gramEnd"/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 share their college and career experiences with students or to mentor students.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7829" w14:textId="6A3728FC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B6F3" w14:textId="04FC9D9C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8470" w14:textId="2678D7D4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223B" w:rsidRPr="00790410" w14:paraId="1A813607" w14:textId="77777777" w:rsidTr="00E60E67">
        <w:trPr>
          <w:trHeight w:val="61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F5C7CF1" w14:textId="3785E48F" w:rsidR="00C8223B" w:rsidRPr="00790410" w:rsidRDefault="00C8223B" w:rsidP="00C822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c. 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Recent alumni return to our school to share their college experiences and advice.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1A65" w14:textId="4F71FD61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5D73" w14:textId="786ED86E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C691" w14:textId="612C380B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223B" w:rsidRPr="00790410" w14:paraId="4C505A94" w14:textId="77777777" w:rsidTr="00E60E67">
        <w:trPr>
          <w:trHeight w:val="6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A027399" w14:textId="2D1CBE6A" w:rsidR="00C8223B" w:rsidRPr="00790410" w:rsidRDefault="00C8223B" w:rsidP="00C822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d. 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Community organizations and businesses post information about college.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923D" w14:textId="12FD2D25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3050" w14:textId="50C0E425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342C" w14:textId="6312512C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223B" w:rsidRPr="00790410" w14:paraId="4806DA3F" w14:textId="77777777" w:rsidTr="00E60E67">
        <w:trPr>
          <w:trHeight w:val="79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AFC36C" w14:textId="03002A42" w:rsidR="00C8223B" w:rsidRPr="00790410" w:rsidRDefault="00C8223B" w:rsidP="00C822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e. 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 shared vision for high expectations </w:t>
            </w:r>
            <w:proofErr w:type="gramStart"/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is clearly and widely communicated</w:t>
            </w:r>
            <w:proofErr w:type="gramEnd"/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within the school and to the broader community.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D00B" w14:textId="09ECD929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E641" w14:textId="0E19AC1F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FE30" w14:textId="15B9A5C8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690F" w:rsidRPr="00790410" w14:paraId="797128BD" w14:textId="77777777" w:rsidTr="00E60E67">
        <w:trPr>
          <w:trHeight w:val="79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9E0DA83" w14:textId="39B073D1" w:rsidR="006A690F" w:rsidRPr="00790410" w:rsidRDefault="006A690F" w:rsidP="00C822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</w:t>
            </w: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The need for Early College/Career Readiness &amp; Awareness efforts </w:t>
            </w:r>
            <w:proofErr w:type="gramStart"/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are regularly communicated</w:t>
            </w:r>
            <w:proofErr w:type="gramEnd"/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 parents.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C2DB" w14:textId="77777777" w:rsidR="006A690F" w:rsidRPr="00790410" w:rsidRDefault="006A690F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41A6" w14:textId="77777777" w:rsidR="006A690F" w:rsidRPr="00790410" w:rsidRDefault="006A690F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3AF8" w14:textId="77777777" w:rsidR="006A690F" w:rsidRPr="00790410" w:rsidRDefault="006A690F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223B" w:rsidRPr="00790410" w14:paraId="63ECA087" w14:textId="77777777" w:rsidTr="00E60E67">
        <w:trPr>
          <w:gridAfter w:val="1"/>
          <w:wAfter w:w="801" w:type="pct"/>
          <w:trHeight w:val="225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6C9E" w14:textId="77777777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6B90D" w14:textId="77777777" w:rsidR="00C8223B" w:rsidRPr="00790410" w:rsidRDefault="00C8223B" w:rsidP="00C822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5DE6C" w14:textId="77777777" w:rsidR="00C8223B" w:rsidRPr="00790410" w:rsidRDefault="00C8223B" w:rsidP="00C822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9FA4" w14:textId="77777777" w:rsidR="00C8223B" w:rsidRPr="00790410" w:rsidRDefault="00C8223B" w:rsidP="00C822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8223B" w:rsidRPr="00790410" w14:paraId="312B5655" w14:textId="77777777" w:rsidTr="00E60E67">
        <w:trPr>
          <w:trHeight w:val="63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7D73E7A" w14:textId="77777777" w:rsidR="00C8223B" w:rsidRPr="00790410" w:rsidRDefault="00C8223B" w:rsidP="00C8223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sz w:val="20"/>
                <w:szCs w:val="20"/>
              </w:rPr>
              <w:t>6. P-20 Collaboration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48338" w14:textId="5EA4CD50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 are not doing this in our school.</w:t>
            </w: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ADE53" w14:textId="1227120A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 are doing this but could be doing better.</w:t>
            </w: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FEDF7" w14:textId="13271CCF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 do this well in our school.</w:t>
            </w: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3</w:t>
            </w:r>
          </w:p>
        </w:tc>
      </w:tr>
      <w:tr w:rsidR="00C8223B" w:rsidRPr="00790410" w14:paraId="63ED5311" w14:textId="77777777" w:rsidTr="00E60E67">
        <w:trPr>
          <w:trHeight w:val="845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69BC5F4" w14:textId="797720C2" w:rsidR="00C8223B" w:rsidRPr="00790410" w:rsidRDefault="00C8223B" w:rsidP="004629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a. 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College partnerships are strong, facilitating college-related activities aimed towards raising awareness of and aspirations </w:t>
            </w:r>
            <w:r w:rsidR="00462944">
              <w:rPr>
                <w:rFonts w:eastAsia="Times New Roman" w:cstheme="minorHAnsi"/>
                <w:color w:val="000000"/>
                <w:sz w:val="20"/>
                <w:szCs w:val="20"/>
              </w:rPr>
              <w:t>for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college.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21FF" w14:textId="045E8742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ECE1" w14:textId="4E1485D1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6B3F" w14:textId="5E53C0B3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223B" w:rsidRPr="00790410" w14:paraId="4060FFD5" w14:textId="77777777" w:rsidTr="00E60E67">
        <w:trPr>
          <w:trHeight w:val="98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9898EE" w14:textId="28E37FEB" w:rsidR="00C8223B" w:rsidRPr="00790410" w:rsidRDefault="00C8223B" w:rsidP="00C822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b. 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Articulation between elementary, middle, and high schools is seamless - the college message is consistent as students move through their educational journey.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AF90" w14:textId="10C6A7D2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FDA1" w14:textId="3EDF1F75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ECEB" w14:textId="3977AAC5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E443347" w14:textId="4C65D5E2" w:rsidR="00EB7561" w:rsidRPr="00790410" w:rsidRDefault="00EB7561" w:rsidP="001B4151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880"/>
        <w:gridCol w:w="2160"/>
        <w:gridCol w:w="2160"/>
        <w:gridCol w:w="2160"/>
      </w:tblGrid>
      <w:tr w:rsidR="00C8223B" w:rsidRPr="00790410" w14:paraId="43033807" w14:textId="77777777" w:rsidTr="001B4151">
        <w:trPr>
          <w:trHeight w:val="6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4FD718C" w14:textId="77777777" w:rsidR="00C8223B" w:rsidRPr="00790410" w:rsidRDefault="00C8223B" w:rsidP="00C8223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sz w:val="20"/>
                <w:szCs w:val="20"/>
              </w:rPr>
              <w:t>7. Sustainability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9C514" w14:textId="0E069CFC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 are not doing this in our school.</w:t>
            </w: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A531A" w14:textId="42526FE3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 are doing this but could be doing better.</w:t>
            </w: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2E72E" w14:textId="2EDF1919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 do this well in our school.</w:t>
            </w:r>
            <w:r w:rsidRPr="00790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3</w:t>
            </w:r>
          </w:p>
        </w:tc>
      </w:tr>
      <w:tr w:rsidR="00C8223B" w:rsidRPr="00790410" w14:paraId="177CC66C" w14:textId="77777777" w:rsidTr="00090F61">
        <w:trPr>
          <w:trHeight w:val="64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D894533" w14:textId="536453B1" w:rsidR="00C8223B" w:rsidRPr="00790410" w:rsidRDefault="00C8223B" w:rsidP="00C822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a. 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Early College/Career</w:t>
            </w:r>
            <w:proofErr w:type="gramEnd"/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Readiness &amp; Awareness efforts are strongly integrated into the operations of our school.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9B81" w14:textId="2F998D03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85F2" w14:textId="7599FD5B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65D6" w14:textId="3020CE60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223B" w:rsidRPr="00790410" w14:paraId="5BF99710" w14:textId="77777777" w:rsidTr="00790410">
        <w:trPr>
          <w:trHeight w:val="5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4F5D436" w14:textId="7A922D0F" w:rsidR="00C8223B" w:rsidRPr="00790410" w:rsidRDefault="006A690F" w:rsidP="00C822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</w:t>
            </w:r>
            <w:bookmarkStart w:id="0" w:name="_GoBack"/>
            <w:bookmarkEnd w:id="0"/>
            <w:r w:rsidR="00C8223B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Best practices and empirical research </w:t>
            </w:r>
            <w:proofErr w:type="gramStart"/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>are regularly reviewed</w:t>
            </w:r>
            <w:proofErr w:type="gramEnd"/>
            <w:r w:rsidR="001B4151" w:rsidRPr="007904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applied to existing Early College/Career Readiness &amp; Awareness efforts.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F529" w14:textId="6DCCEF50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F2B2" w14:textId="64AD7777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7778" w14:textId="7B938049" w:rsidR="00C8223B" w:rsidRPr="00790410" w:rsidRDefault="00C8223B" w:rsidP="00C82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80FC694" w14:textId="77777777" w:rsidR="003D2423" w:rsidRPr="00790410" w:rsidRDefault="003D2423">
      <w:pPr>
        <w:rPr>
          <w:rFonts w:cstheme="minorHAnsi"/>
          <w:sz w:val="20"/>
          <w:szCs w:val="20"/>
        </w:rPr>
      </w:pPr>
    </w:p>
    <w:sectPr w:rsidR="003D2423" w:rsidRPr="00790410" w:rsidSect="00E60E67">
      <w:headerReference w:type="default" r:id="rId7"/>
      <w:footerReference w:type="default" r:id="rId8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BF987" w14:textId="77777777" w:rsidR="00E41017" w:rsidRDefault="00E41017" w:rsidP="00DB6579">
      <w:pPr>
        <w:spacing w:after="0" w:line="240" w:lineRule="auto"/>
      </w:pPr>
      <w:r>
        <w:separator/>
      </w:r>
    </w:p>
  </w:endnote>
  <w:endnote w:type="continuationSeparator" w:id="0">
    <w:p w14:paraId="6840CFFC" w14:textId="77777777" w:rsidR="00E41017" w:rsidRDefault="00E41017" w:rsidP="00DB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4586" w14:textId="3A8D207A" w:rsidR="00302BD5" w:rsidRPr="00302BD5" w:rsidRDefault="001B4151" w:rsidP="00302BD5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Last Updated: </w:t>
    </w:r>
    <w:r w:rsidR="00090F61">
      <w:rPr>
        <w:rFonts w:ascii="Times New Roman" w:hAnsi="Times New Roman" w:cs="Times New Roman"/>
        <w:sz w:val="20"/>
        <w:szCs w:val="20"/>
      </w:rPr>
      <w:t>11/30/2018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D54E9" w14:textId="77777777" w:rsidR="00E41017" w:rsidRDefault="00E41017" w:rsidP="00DB6579">
      <w:pPr>
        <w:spacing w:after="0" w:line="240" w:lineRule="auto"/>
      </w:pPr>
      <w:r>
        <w:separator/>
      </w:r>
    </w:p>
  </w:footnote>
  <w:footnote w:type="continuationSeparator" w:id="0">
    <w:p w14:paraId="476C679C" w14:textId="77777777" w:rsidR="00E41017" w:rsidRDefault="00E41017" w:rsidP="00DB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278F7" w14:textId="77777777" w:rsidR="00302BD5" w:rsidRDefault="00302BD5" w:rsidP="00302BD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23"/>
    <w:rsid w:val="00022260"/>
    <w:rsid w:val="00090F61"/>
    <w:rsid w:val="000B7BF1"/>
    <w:rsid w:val="000D72D4"/>
    <w:rsid w:val="001B4151"/>
    <w:rsid w:val="001D0FDE"/>
    <w:rsid w:val="001D133C"/>
    <w:rsid w:val="00247736"/>
    <w:rsid w:val="002B429B"/>
    <w:rsid w:val="002F2097"/>
    <w:rsid w:val="00302BD5"/>
    <w:rsid w:val="00304372"/>
    <w:rsid w:val="003D2423"/>
    <w:rsid w:val="00462944"/>
    <w:rsid w:val="00475ECC"/>
    <w:rsid w:val="004A57D2"/>
    <w:rsid w:val="004D2117"/>
    <w:rsid w:val="005131AD"/>
    <w:rsid w:val="0055051F"/>
    <w:rsid w:val="0060198C"/>
    <w:rsid w:val="006204DF"/>
    <w:rsid w:val="006462BC"/>
    <w:rsid w:val="006A2CBD"/>
    <w:rsid w:val="006A690F"/>
    <w:rsid w:val="006D6544"/>
    <w:rsid w:val="006F2A46"/>
    <w:rsid w:val="00790410"/>
    <w:rsid w:val="008E5EC6"/>
    <w:rsid w:val="008F5940"/>
    <w:rsid w:val="00AD7F11"/>
    <w:rsid w:val="00B75536"/>
    <w:rsid w:val="00B81FAC"/>
    <w:rsid w:val="00C22EEB"/>
    <w:rsid w:val="00C8223B"/>
    <w:rsid w:val="00DB6579"/>
    <w:rsid w:val="00E33077"/>
    <w:rsid w:val="00E41017"/>
    <w:rsid w:val="00E60E67"/>
    <w:rsid w:val="00EB7561"/>
    <w:rsid w:val="00F6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E1A266"/>
  <w15:chartTrackingRefBased/>
  <w15:docId w15:val="{E2B339A0-A52E-40B6-9C88-233DDF09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2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A46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DB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6579"/>
  </w:style>
  <w:style w:type="paragraph" w:styleId="Footer">
    <w:name w:val="footer"/>
    <w:basedOn w:val="Normal"/>
    <w:link w:val="FooterChar"/>
    <w:uiPriority w:val="99"/>
    <w:unhideWhenUsed/>
    <w:rsid w:val="00DB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 Donnelly</dc:creator>
  <cp:keywords/>
  <dc:description/>
  <cp:lastModifiedBy>Barbara Ann Soby</cp:lastModifiedBy>
  <cp:revision>6</cp:revision>
  <cp:lastPrinted>2016-12-13T19:19:00Z</cp:lastPrinted>
  <dcterms:created xsi:type="dcterms:W3CDTF">2018-11-30T18:29:00Z</dcterms:created>
  <dcterms:modified xsi:type="dcterms:W3CDTF">2018-11-30T19:00:00Z</dcterms:modified>
</cp:coreProperties>
</file>