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1350"/>
        <w:gridCol w:w="7740"/>
        <w:gridCol w:w="1260"/>
      </w:tblGrid>
      <w:tr w:rsidR="00B8322D" w:rsidRPr="00F565A1" w:rsidTr="009B788E">
        <w:trPr>
          <w:trHeight w:val="1431"/>
        </w:trPr>
        <w:tc>
          <w:tcPr>
            <w:tcW w:w="1350" w:type="dxa"/>
            <w:shd w:val="clear" w:color="auto" w:fill="auto"/>
          </w:tcPr>
          <w:p w:rsidR="006F77B5" w:rsidRPr="00F565A1" w:rsidRDefault="006F77B5" w:rsidP="002851AA">
            <w:pPr>
              <w:pStyle w:val="Heading1"/>
              <w:rPr>
                <w:b w:val="0"/>
                <w:bCs w:val="0"/>
                <w:color w:val="FF0000"/>
                <w:sz w:val="48"/>
              </w:rPr>
            </w:pPr>
            <w:r>
              <w:rPr>
                <w:b w:val="0"/>
                <w:bCs w:val="0"/>
                <w:noProof/>
                <w:color w:val="FF0000"/>
                <w:sz w:val="48"/>
              </w:rPr>
              <w:drawing>
                <wp:inline distT="0" distB="0" distL="0" distR="0" wp14:anchorId="3DA536CF" wp14:editId="06346A89">
                  <wp:extent cx="447675" cy="800100"/>
                  <wp:effectExtent l="0" t="0" r="9525" b="0"/>
                  <wp:docPr id="3" name="Picture 3" descr="NAU_New Prim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U_New Prim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F77B5" w:rsidRPr="00C84E14" w:rsidRDefault="006F77B5" w:rsidP="002851AA">
            <w:pPr>
              <w:pStyle w:val="Heading1"/>
              <w:jc w:val="center"/>
              <w:rPr>
                <w:rFonts w:ascii="Candara" w:hAnsi="Candara"/>
                <w:bCs w:val="0"/>
                <w:sz w:val="36"/>
                <w:szCs w:val="36"/>
              </w:rPr>
            </w:pPr>
            <w:r w:rsidRPr="00C84E14">
              <w:rPr>
                <w:rFonts w:ascii="Candara" w:hAnsi="Candara"/>
                <w:bCs w:val="0"/>
                <w:sz w:val="36"/>
                <w:szCs w:val="36"/>
              </w:rPr>
              <w:t>ARIZONA GEAR UP</w:t>
            </w:r>
          </w:p>
          <w:p w:rsidR="006F77B5" w:rsidRPr="00F565A1" w:rsidRDefault="006F77B5" w:rsidP="002851AA">
            <w:pPr>
              <w:pStyle w:val="Heading1"/>
              <w:jc w:val="center"/>
              <w:rPr>
                <w:b w:val="0"/>
                <w:bCs w:val="0"/>
                <w:color w:val="FF0000"/>
              </w:rPr>
            </w:pPr>
            <w:r w:rsidRPr="00F565A1">
              <w:rPr>
                <w:b w:val="0"/>
                <w:bCs w:val="0"/>
                <w:color w:val="FF0000"/>
              </w:rPr>
              <w:t>G</w:t>
            </w:r>
            <w:r w:rsidRPr="00F565A1">
              <w:rPr>
                <w:color w:val="000080"/>
              </w:rPr>
              <w:t xml:space="preserve">aining </w:t>
            </w:r>
            <w:r w:rsidRPr="00F565A1">
              <w:rPr>
                <w:b w:val="0"/>
                <w:bCs w:val="0"/>
                <w:color w:val="FF0000"/>
              </w:rPr>
              <w:t>E</w:t>
            </w:r>
            <w:r w:rsidRPr="00F565A1">
              <w:rPr>
                <w:color w:val="000080"/>
              </w:rPr>
              <w:t xml:space="preserve">arly </w:t>
            </w:r>
            <w:r w:rsidRPr="00F565A1">
              <w:rPr>
                <w:b w:val="0"/>
                <w:bCs w:val="0"/>
                <w:color w:val="FF0000"/>
              </w:rPr>
              <w:t>A</w:t>
            </w:r>
            <w:r w:rsidRPr="00F565A1">
              <w:rPr>
                <w:color w:val="000080"/>
              </w:rPr>
              <w:t xml:space="preserve">wareness and </w:t>
            </w:r>
            <w:r w:rsidRPr="00F565A1">
              <w:rPr>
                <w:b w:val="0"/>
                <w:bCs w:val="0"/>
                <w:color w:val="FF0000"/>
              </w:rPr>
              <w:t>R</w:t>
            </w:r>
            <w:r w:rsidRPr="00F565A1">
              <w:rPr>
                <w:color w:val="000080"/>
              </w:rPr>
              <w:t xml:space="preserve">eadiness for </w:t>
            </w:r>
            <w:r w:rsidRPr="00F565A1">
              <w:rPr>
                <w:b w:val="0"/>
                <w:bCs w:val="0"/>
                <w:color w:val="FF0000"/>
              </w:rPr>
              <w:t>U</w:t>
            </w:r>
            <w:r w:rsidRPr="00F565A1">
              <w:rPr>
                <w:color w:val="000080"/>
              </w:rPr>
              <w:t xml:space="preserve">ndergraduate </w:t>
            </w:r>
            <w:r w:rsidRPr="00F565A1">
              <w:rPr>
                <w:b w:val="0"/>
                <w:bCs w:val="0"/>
                <w:color w:val="FF0000"/>
              </w:rPr>
              <w:t>P</w:t>
            </w:r>
            <w:r w:rsidRPr="00F565A1">
              <w:rPr>
                <w:color w:val="000080"/>
              </w:rPr>
              <w:t>rograms</w:t>
            </w:r>
          </w:p>
        </w:tc>
        <w:tc>
          <w:tcPr>
            <w:tcW w:w="1260" w:type="dxa"/>
            <w:shd w:val="clear" w:color="auto" w:fill="auto"/>
          </w:tcPr>
          <w:p w:rsidR="006F77B5" w:rsidRPr="00F565A1" w:rsidRDefault="006F77B5" w:rsidP="002851AA">
            <w:pPr>
              <w:pStyle w:val="Heading1"/>
              <w:jc w:val="right"/>
              <w:rPr>
                <w:b w:val="0"/>
                <w:bCs w:val="0"/>
                <w:color w:val="FF0000"/>
                <w:sz w:val="4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3E7BA40" wp14:editId="0BE0F0B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87630</wp:posOffset>
                  </wp:positionV>
                  <wp:extent cx="628650" cy="65590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gearupICON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4E14" w:rsidRPr="00C84E14" w:rsidRDefault="00C84E14" w:rsidP="00C84E14">
      <w:pPr>
        <w:shd w:val="clear" w:color="auto" w:fill="99CCFF"/>
        <w:spacing w:after="0" w:line="240" w:lineRule="exact"/>
        <w:jc w:val="center"/>
        <w:rPr>
          <w:rFonts w:ascii="Candara" w:hAnsi="Candara"/>
          <w:b/>
          <w:sz w:val="16"/>
          <w:szCs w:val="16"/>
        </w:rPr>
      </w:pPr>
    </w:p>
    <w:p w:rsidR="006F77B5" w:rsidRDefault="006F77B5" w:rsidP="00C84E14">
      <w:pPr>
        <w:shd w:val="clear" w:color="auto" w:fill="99CCFF"/>
        <w:spacing w:after="0" w:line="240" w:lineRule="exact"/>
        <w:jc w:val="center"/>
        <w:rPr>
          <w:rFonts w:ascii="Candara" w:hAnsi="Candara"/>
          <w:b/>
          <w:sz w:val="24"/>
          <w:szCs w:val="24"/>
        </w:rPr>
      </w:pPr>
      <w:r w:rsidRPr="00844F9F">
        <w:rPr>
          <w:rFonts w:ascii="Candara" w:hAnsi="Candara"/>
          <w:b/>
          <w:sz w:val="24"/>
          <w:szCs w:val="24"/>
        </w:rPr>
        <w:t>Minimum Standards &amp; Guidelines for Documentation of Professional Development – Year</w:t>
      </w:r>
      <w:r w:rsidR="001C2209">
        <w:rPr>
          <w:rFonts w:ascii="Candara" w:hAnsi="Candara"/>
          <w:b/>
          <w:sz w:val="24"/>
          <w:szCs w:val="24"/>
        </w:rPr>
        <w:t xml:space="preserve"> </w:t>
      </w:r>
      <w:r w:rsidR="000F6658">
        <w:rPr>
          <w:rFonts w:ascii="Candara" w:hAnsi="Candara"/>
          <w:b/>
          <w:sz w:val="24"/>
          <w:szCs w:val="24"/>
        </w:rPr>
        <w:t>6</w:t>
      </w:r>
    </w:p>
    <w:p w:rsidR="00C84E14" w:rsidRPr="00C84E14" w:rsidRDefault="00C84E14" w:rsidP="00C84E14">
      <w:pPr>
        <w:shd w:val="clear" w:color="auto" w:fill="99CCFF"/>
        <w:spacing w:after="0" w:line="240" w:lineRule="exact"/>
        <w:jc w:val="center"/>
        <w:rPr>
          <w:rFonts w:ascii="Candara" w:hAnsi="Candara"/>
          <w:b/>
          <w:sz w:val="16"/>
          <w:szCs w:val="16"/>
        </w:rPr>
      </w:pPr>
    </w:p>
    <w:p w:rsidR="006F77B5" w:rsidRPr="000C1EBA" w:rsidRDefault="006F77B5" w:rsidP="00C84E14">
      <w:pPr>
        <w:spacing w:before="240"/>
        <w:rPr>
          <w:b/>
          <w:smallCaps/>
        </w:rPr>
      </w:pPr>
      <w:r w:rsidRPr="000C1EBA">
        <w:rPr>
          <w:b/>
          <w:smallCaps/>
        </w:rPr>
        <w:t>I. Purpose</w:t>
      </w:r>
    </w:p>
    <w:p w:rsidR="006F77B5" w:rsidRDefault="006F77B5">
      <w:r>
        <w:t>NAU is required to report, in the Annual Performance Report (APR) to the US Department of Education</w:t>
      </w:r>
      <w:r w:rsidR="001C2209">
        <w:t>,</w:t>
      </w:r>
      <w:r>
        <w:t xml:space="preserve"> the </w:t>
      </w:r>
      <w:r w:rsidRPr="00B81214">
        <w:rPr>
          <w:u w:val="single"/>
        </w:rPr>
        <w:t xml:space="preserve">number of </w:t>
      </w:r>
      <w:r w:rsidR="001C2209">
        <w:rPr>
          <w:u w:val="single"/>
        </w:rPr>
        <w:t>educators</w:t>
      </w:r>
      <w:r>
        <w:t xml:space="preserve"> and </w:t>
      </w:r>
      <w:r w:rsidRPr="00B81214">
        <w:rPr>
          <w:u w:val="single"/>
        </w:rPr>
        <w:t>number of hours</w:t>
      </w:r>
      <w:r>
        <w:t xml:space="preserve"> of GEAR UP-sponsored Professional Development </w:t>
      </w:r>
      <w:r w:rsidR="00277A44">
        <w:t xml:space="preserve">(PD) </w:t>
      </w:r>
      <w:r>
        <w:t xml:space="preserve">provided each year.  </w:t>
      </w:r>
      <w:r w:rsidR="00277A44">
        <w:t>“</w:t>
      </w:r>
      <w:r w:rsidR="00C76587">
        <w:rPr>
          <w:b/>
        </w:rPr>
        <w:t>GEAR UP-</w:t>
      </w:r>
      <w:r w:rsidR="00277A44" w:rsidRPr="002F6D32">
        <w:rPr>
          <w:b/>
        </w:rPr>
        <w:t>Sponsored” PD includes any training or professional development paid for with GEAR UP funds or reported as GEAR UP match/cost share.</w:t>
      </w:r>
      <w:r w:rsidR="00277A44">
        <w:t xml:space="preserve">   </w:t>
      </w:r>
      <w:r>
        <w:t>All numbers reported in the APR mu</w:t>
      </w:r>
      <w:r w:rsidR="00277A44">
        <w:t>st have back</w:t>
      </w:r>
      <w:r>
        <w:t>up document</w:t>
      </w:r>
      <w:r w:rsidR="00277A44">
        <w:t xml:space="preserve">ation.  </w:t>
      </w:r>
      <w:r w:rsidR="00F221D7">
        <w:t xml:space="preserve">To that end, </w:t>
      </w:r>
      <w:r w:rsidR="000F6658">
        <w:rPr>
          <w:rFonts w:ascii="Calibri" w:hAnsi="Calibri"/>
        </w:rPr>
        <w:t>GEAR UP c</w:t>
      </w:r>
      <w:r w:rsidR="001C2209" w:rsidRPr="000F6658">
        <w:rPr>
          <w:rFonts w:ascii="Calibri" w:hAnsi="Calibri"/>
        </w:rPr>
        <w:t>oordinator</w:t>
      </w:r>
      <w:r w:rsidR="000F6658">
        <w:rPr>
          <w:rFonts w:ascii="Calibri" w:hAnsi="Calibri"/>
        </w:rPr>
        <w:t>s or a</w:t>
      </w:r>
      <w:r w:rsidR="000F6658" w:rsidRPr="000F6658">
        <w:rPr>
          <w:rFonts w:ascii="Calibri" w:hAnsi="Calibri"/>
        </w:rPr>
        <w:t>ssistant</w:t>
      </w:r>
      <w:r w:rsidR="000F6658">
        <w:rPr>
          <w:rFonts w:ascii="Calibri" w:hAnsi="Calibri"/>
        </w:rPr>
        <w:t>s</w:t>
      </w:r>
      <w:r w:rsidR="000F6658" w:rsidRPr="000F6658">
        <w:rPr>
          <w:rFonts w:ascii="Calibri" w:hAnsi="Calibri"/>
        </w:rPr>
        <w:t xml:space="preserve"> must</w:t>
      </w:r>
      <w:r w:rsidR="001C2209" w:rsidRPr="000F6658">
        <w:rPr>
          <w:rFonts w:ascii="Calibri" w:hAnsi="Calibri"/>
        </w:rPr>
        <w:t xml:space="preserve"> </w:t>
      </w:r>
      <w:r w:rsidR="001C2209" w:rsidRPr="007E696E">
        <w:rPr>
          <w:rFonts w:ascii="Calibri" w:hAnsi="Calibri"/>
        </w:rPr>
        <w:t>document all GEAR UP sponsored professional development on the Professional Development Report Form provided by NAU; submit to State GEAR UP Office, by dates indicat</w:t>
      </w:r>
      <w:r w:rsidR="001C2209">
        <w:rPr>
          <w:rFonts w:ascii="Calibri" w:hAnsi="Calibri"/>
        </w:rPr>
        <w:t xml:space="preserve">ed on GEAR UP Year </w:t>
      </w:r>
      <w:r w:rsidR="000F6658">
        <w:rPr>
          <w:rFonts w:ascii="Calibri" w:hAnsi="Calibri"/>
        </w:rPr>
        <w:t>6</w:t>
      </w:r>
      <w:r w:rsidR="001C2209">
        <w:rPr>
          <w:rFonts w:ascii="Calibri" w:hAnsi="Calibri"/>
        </w:rPr>
        <w:t xml:space="preserve"> Calendar.</w:t>
      </w:r>
      <w:r w:rsidR="005D6A15">
        <w:rPr>
          <w:rFonts w:ascii="Calibri" w:hAnsi="Calibri"/>
        </w:rPr>
        <w:t>”</w:t>
      </w:r>
      <w:r w:rsidR="00C76587">
        <w:rPr>
          <w:rFonts w:ascii="Calibri" w:hAnsi="Calibri"/>
        </w:rPr>
        <w:t xml:space="preserve"> The standards for </w:t>
      </w:r>
      <w:r w:rsidR="000F6658">
        <w:rPr>
          <w:rFonts w:ascii="Calibri" w:hAnsi="Calibri"/>
        </w:rPr>
        <w:t>reporting professional development</w:t>
      </w:r>
      <w:bookmarkStart w:id="0" w:name="_GoBack"/>
      <w:bookmarkEnd w:id="0"/>
      <w:r w:rsidR="00C76587">
        <w:rPr>
          <w:rFonts w:ascii="Calibri" w:hAnsi="Calibri"/>
        </w:rPr>
        <w:t xml:space="preserve"> </w:t>
      </w:r>
      <w:proofErr w:type="gramStart"/>
      <w:r w:rsidR="00C76587">
        <w:rPr>
          <w:rFonts w:ascii="Calibri" w:hAnsi="Calibri"/>
        </w:rPr>
        <w:t>are specified</w:t>
      </w:r>
      <w:proofErr w:type="gramEnd"/>
      <w:r w:rsidR="00C76587">
        <w:rPr>
          <w:rFonts w:ascii="Calibri" w:hAnsi="Calibri"/>
        </w:rPr>
        <w:t xml:space="preserve"> below.</w:t>
      </w:r>
    </w:p>
    <w:p w:rsidR="005A7B89" w:rsidRPr="000C1EBA" w:rsidRDefault="00277A44" w:rsidP="005A7B89">
      <w:pPr>
        <w:rPr>
          <w:b/>
          <w:smallCaps/>
        </w:rPr>
      </w:pPr>
      <w:r w:rsidRPr="000C1EBA">
        <w:rPr>
          <w:b/>
          <w:smallCaps/>
        </w:rPr>
        <w:t xml:space="preserve">II.  </w:t>
      </w:r>
      <w:r w:rsidR="00F221D7">
        <w:rPr>
          <w:b/>
          <w:smallCaps/>
        </w:rPr>
        <w:t xml:space="preserve"> </w:t>
      </w:r>
      <w:r w:rsidR="005A7B89" w:rsidRPr="000C1EBA">
        <w:rPr>
          <w:b/>
          <w:smallCaps/>
        </w:rPr>
        <w:t>Format</w:t>
      </w:r>
    </w:p>
    <w:p w:rsidR="005A7B89" w:rsidRDefault="005A7B89" w:rsidP="005A7B89">
      <w:r>
        <w:t xml:space="preserve">The PD report is to be submitted electronically as an excel spreadsheet.  The spreadsheet should contain </w:t>
      </w:r>
      <w:r w:rsidR="001C2209">
        <w:t>eight</w:t>
      </w:r>
      <w:r>
        <w:t xml:space="preserve"> </w:t>
      </w:r>
      <w:r w:rsidR="001C2209">
        <w:t>(8</w:t>
      </w:r>
      <w:r>
        <w:t xml:space="preserve">) columns as shown on the attached example.  </w:t>
      </w:r>
      <w:r w:rsidR="00AE57E3">
        <w:t xml:space="preserve">Coordinators may add as many rows as needed. </w:t>
      </w:r>
      <w:r w:rsidR="00536DF3">
        <w:t>The report form (excel</w:t>
      </w:r>
      <w:r>
        <w:t xml:space="preserve"> spreadsheet</w:t>
      </w:r>
      <w:r w:rsidR="00536DF3">
        <w:t>) is available on Haiku for coordinators to dow</w:t>
      </w:r>
      <w:r w:rsidR="00AE57E3">
        <w:t>n</w:t>
      </w:r>
      <w:r w:rsidR="00536DF3">
        <w:t>load</w:t>
      </w:r>
      <w:r w:rsidR="00AE57E3">
        <w:t xml:space="preserve">, and should be submitted electronically to </w:t>
      </w:r>
      <w:r w:rsidR="00391E49">
        <w:t>your</w:t>
      </w:r>
      <w:r w:rsidR="00AE57E3">
        <w:t xml:space="preserve"> assigned Site Support Specialist on the due date</w:t>
      </w:r>
      <w:r w:rsidR="001C2209">
        <w:t>s</w:t>
      </w:r>
      <w:r w:rsidR="00AE57E3">
        <w:t>.</w:t>
      </w:r>
    </w:p>
    <w:p w:rsidR="005A7B89" w:rsidRPr="000C1EBA" w:rsidRDefault="000C1EBA" w:rsidP="005A7B89">
      <w:pPr>
        <w:rPr>
          <w:b/>
          <w:smallCaps/>
        </w:rPr>
      </w:pPr>
      <w:r w:rsidRPr="000C1EBA">
        <w:rPr>
          <w:b/>
          <w:smallCaps/>
        </w:rPr>
        <w:t xml:space="preserve">III. </w:t>
      </w:r>
      <w:r w:rsidR="005A7B89" w:rsidRPr="000C1EBA">
        <w:rPr>
          <w:b/>
          <w:smallCaps/>
        </w:rPr>
        <w:t>Frequency / Due Date</w:t>
      </w:r>
    </w:p>
    <w:p w:rsidR="00E92214" w:rsidRDefault="00536DF3" w:rsidP="00536DF3">
      <w:r>
        <w:t xml:space="preserve">The frequency of submittal of the PD Report is based on each site’s workplan.  When </w:t>
      </w:r>
      <w:r w:rsidR="00391E49">
        <w:t>GEAR UP-sponsored Professional Development takes place, the report</w:t>
      </w:r>
      <w:r>
        <w:t xml:space="preserve"> is due on the 15</w:t>
      </w:r>
      <w:r w:rsidRPr="00536DF3">
        <w:rPr>
          <w:vertAlign w:val="superscript"/>
        </w:rPr>
        <w:t>th</w:t>
      </w:r>
      <w:r>
        <w:t xml:space="preserve"> of </w:t>
      </w:r>
      <w:r w:rsidR="00391E49">
        <w:t>the following</w:t>
      </w:r>
      <w:r>
        <w:t xml:space="preserve"> month.</w:t>
      </w:r>
      <w:r w:rsidR="00391E49">
        <w:t xml:space="preserve"> </w:t>
      </w:r>
      <w:r>
        <w:t xml:space="preserve"> For example, GEAR UP sponsored PD that occurred in July </w:t>
      </w:r>
      <w:r w:rsidR="00391E49">
        <w:t>would</w:t>
      </w:r>
      <w:r>
        <w:t xml:space="preserve"> be submitted on August 15</w:t>
      </w:r>
      <w:r w:rsidRPr="00536DF3">
        <w:rPr>
          <w:vertAlign w:val="superscript"/>
        </w:rPr>
        <w:t>th</w:t>
      </w:r>
      <w:r>
        <w:t xml:space="preserve">; GEAR UP sponsored PD that occurred in August </w:t>
      </w:r>
      <w:r w:rsidR="00391E49">
        <w:t>would</w:t>
      </w:r>
      <w:r>
        <w:t xml:space="preserve"> be reported on September 15</w:t>
      </w:r>
      <w:r w:rsidRPr="00536DF3">
        <w:rPr>
          <w:vertAlign w:val="superscript"/>
        </w:rPr>
        <w:t>th</w:t>
      </w:r>
      <w:r>
        <w:t xml:space="preserve">, etc.  Professional Development Reports </w:t>
      </w:r>
      <w:r w:rsidR="00962433">
        <w:t>are</w:t>
      </w:r>
      <w:r>
        <w:t xml:space="preserve"> only expected in the months following the dates listed in </w:t>
      </w:r>
      <w:r w:rsidR="00962433">
        <w:t>each site’s</w:t>
      </w:r>
      <w:r>
        <w:t xml:space="preserve"> workplan. </w:t>
      </w:r>
    </w:p>
    <w:p w:rsidR="00BE4260" w:rsidRPr="00B8322D" w:rsidRDefault="00844F9F">
      <w:pPr>
        <w:rPr>
          <w:b/>
          <w:smallCaps/>
        </w:rPr>
      </w:pPr>
      <w:r w:rsidRPr="00B8322D">
        <w:rPr>
          <w:b/>
          <w:smallCaps/>
        </w:rPr>
        <w:t>IV. Tracking PD in order to complete Report</w:t>
      </w:r>
    </w:p>
    <w:p w:rsidR="00AE57E3" w:rsidRDefault="00844F9F">
      <w:r>
        <w:t>Each GEAR UP</w:t>
      </w:r>
      <w:r w:rsidR="00A204F6">
        <w:t xml:space="preserve"> Coordinator is responsible for </w:t>
      </w:r>
      <w:r w:rsidR="00962433">
        <w:t>knowing the</w:t>
      </w:r>
      <w:r>
        <w:t xml:space="preserve"> GEAR UP sponsored Professional Development </w:t>
      </w:r>
      <w:r w:rsidR="00C76587">
        <w:t>required by</w:t>
      </w:r>
      <w:r w:rsidR="00962433">
        <w:t xml:space="preserve"> </w:t>
      </w:r>
      <w:r w:rsidR="00C76587">
        <w:t>his/her</w:t>
      </w:r>
      <w:r w:rsidR="00962433">
        <w:t xml:space="preserve"> workplan</w:t>
      </w:r>
      <w:r>
        <w:t xml:space="preserve">, in order to </w:t>
      </w:r>
      <w:r w:rsidR="006858C0">
        <w:t xml:space="preserve">both ensure it is completed (teachers are registered and attend) and to </w:t>
      </w:r>
      <w:r>
        <w:t xml:space="preserve">complete </w:t>
      </w:r>
      <w:r w:rsidR="00C76587">
        <w:t xml:space="preserve">and submit </w:t>
      </w:r>
      <w:r>
        <w:t xml:space="preserve">the </w:t>
      </w:r>
      <w:r w:rsidR="002F6D32">
        <w:t>PD</w:t>
      </w:r>
      <w:r>
        <w:t xml:space="preserve"> report</w:t>
      </w:r>
      <w:r w:rsidR="00C76587">
        <w:t xml:space="preserve"> accurately and on time</w:t>
      </w:r>
      <w:r>
        <w:t xml:space="preserve">.  Coordinators </w:t>
      </w:r>
      <w:r w:rsidR="00C76587">
        <w:t>must</w:t>
      </w:r>
      <w:r>
        <w:t xml:space="preserve"> </w:t>
      </w:r>
      <w:r w:rsidR="00C76587">
        <w:t>establish</w:t>
      </w:r>
      <w:r>
        <w:t xml:space="preserve"> a mechanism for verifying the </w:t>
      </w:r>
      <w:r w:rsidR="001C2209">
        <w:t>educators</w:t>
      </w:r>
      <w:r>
        <w:t xml:space="preserve"> who participated in each professional development/training event included in the GEAR UP workplan</w:t>
      </w:r>
      <w:r w:rsidR="00536DF3">
        <w:t>, as well as the duration of the training</w:t>
      </w:r>
      <w:r>
        <w:t xml:space="preserve">.  </w:t>
      </w:r>
      <w:r w:rsidR="009E4395">
        <w:t>If sign-in sheets are used</w:t>
      </w:r>
      <w:r w:rsidR="00C76587">
        <w:t xml:space="preserve"> at any PD/training events</w:t>
      </w:r>
      <w:r w:rsidR="009E4395">
        <w:t>, coordinators should attach scanned copies of the sign-in sheet to the report when submitting.</w:t>
      </w:r>
    </w:p>
    <w:p w:rsidR="00AE57E3" w:rsidRDefault="00AE57E3" w:rsidP="00DA3CE6"/>
    <w:sectPr w:rsidR="00AE57E3" w:rsidSect="00C84E14">
      <w:pgSz w:w="12240" w:h="15840"/>
      <w:pgMar w:top="720" w:right="81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AB"/>
    <w:multiLevelType w:val="hybridMultilevel"/>
    <w:tmpl w:val="56824736"/>
    <w:lvl w:ilvl="0" w:tplc="40846DB6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C07D7"/>
    <w:multiLevelType w:val="hybridMultilevel"/>
    <w:tmpl w:val="4AF65692"/>
    <w:lvl w:ilvl="0" w:tplc="BA12FC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5F3F"/>
    <w:multiLevelType w:val="hybridMultilevel"/>
    <w:tmpl w:val="48763120"/>
    <w:lvl w:ilvl="0" w:tplc="277ADF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4EFA"/>
    <w:multiLevelType w:val="hybridMultilevel"/>
    <w:tmpl w:val="66AEAC8E"/>
    <w:lvl w:ilvl="0" w:tplc="37C863C2">
      <w:start w:val="1"/>
      <w:numFmt w:val="upperLetter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42ABC"/>
    <w:multiLevelType w:val="hybridMultilevel"/>
    <w:tmpl w:val="03E261E0"/>
    <w:lvl w:ilvl="0" w:tplc="42260E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3583"/>
    <w:multiLevelType w:val="hybridMultilevel"/>
    <w:tmpl w:val="4B2075A2"/>
    <w:lvl w:ilvl="0" w:tplc="BA12FCC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F471E6"/>
    <w:multiLevelType w:val="hybridMultilevel"/>
    <w:tmpl w:val="774291E2"/>
    <w:lvl w:ilvl="0" w:tplc="037E77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B16AC"/>
    <w:multiLevelType w:val="hybridMultilevel"/>
    <w:tmpl w:val="C5F28F58"/>
    <w:lvl w:ilvl="0" w:tplc="8D6293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76ED"/>
    <w:multiLevelType w:val="hybridMultilevel"/>
    <w:tmpl w:val="F6DCEA1E"/>
    <w:lvl w:ilvl="0" w:tplc="2618B7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0"/>
    <w:rsid w:val="000215AB"/>
    <w:rsid w:val="000C1EBA"/>
    <w:rsid w:val="000F6658"/>
    <w:rsid w:val="001C2209"/>
    <w:rsid w:val="00277A44"/>
    <w:rsid w:val="002B6917"/>
    <w:rsid w:val="002F6D32"/>
    <w:rsid w:val="00336D5A"/>
    <w:rsid w:val="00391E49"/>
    <w:rsid w:val="004A1230"/>
    <w:rsid w:val="00536DF3"/>
    <w:rsid w:val="005A7B89"/>
    <w:rsid w:val="005D6A15"/>
    <w:rsid w:val="006174ED"/>
    <w:rsid w:val="006858C0"/>
    <w:rsid w:val="006B6BAE"/>
    <w:rsid w:val="006F77B5"/>
    <w:rsid w:val="00844F9F"/>
    <w:rsid w:val="00962433"/>
    <w:rsid w:val="009B788E"/>
    <w:rsid w:val="009E4395"/>
    <w:rsid w:val="00A204F6"/>
    <w:rsid w:val="00AE57E3"/>
    <w:rsid w:val="00B331BA"/>
    <w:rsid w:val="00B81214"/>
    <w:rsid w:val="00B8322D"/>
    <w:rsid w:val="00BE4260"/>
    <w:rsid w:val="00C76587"/>
    <w:rsid w:val="00C84E14"/>
    <w:rsid w:val="00D7253B"/>
    <w:rsid w:val="00DA3CE6"/>
    <w:rsid w:val="00E603A6"/>
    <w:rsid w:val="00E92214"/>
    <w:rsid w:val="00F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582E"/>
  <w15:docId w15:val="{DF4EF0E7-046E-4DDD-BE09-EA3F095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77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7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3C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Soby</dc:creator>
  <cp:lastModifiedBy>Barbara Ann Soby</cp:lastModifiedBy>
  <cp:revision>2</cp:revision>
  <cp:lastPrinted>2013-07-23T18:21:00Z</cp:lastPrinted>
  <dcterms:created xsi:type="dcterms:W3CDTF">2017-09-29T22:01:00Z</dcterms:created>
  <dcterms:modified xsi:type="dcterms:W3CDTF">2017-09-29T22:01:00Z</dcterms:modified>
</cp:coreProperties>
</file>