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Assessing the volcanic, magmatic, and crustal evolution during magmatic flare-up that produced the San Juan Volcanic Field in SW Colorado</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The student intern will support a collaborative research initiative to understand the spatiotemporal evolution of the San Juan Volcanic Field (SJVF) in southwestern Colorado. The SJVF was produced during a major magmatic-volcanic ‘flare-up’ that occurred between ~38 and 23 million years ago and ultimately lead to the eruption of &gt;60,000 km3 of ash and lava from dozens of calderas and other eruptive centers – including the Fish Canyon Tuff, the largest know eruption of all time.</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The erupted ash and lavas all contain a variety of mineral types such as pyroxene and zircon whose chemical record can provide a window into the magmatic generation, storage, and evolution processes occurring in the crust as they grew. By analyzing and assessing this chemical record in minerals extracted from spatially and temporally representative eruptions, we can address critical questions, and develop a better understanding of the origins, conditions, and spatiotemporal evolution of individual magmatic and volcanic systems, as well as the modification of the continental crust over the flare-up.</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The insights gained here will be applied to models for other similar (and active) volcanic systems. Overall, understanding magma dynamics and their volcanic equivalents is important, and of interest to both society and the scientific community, given the hazards posed by eruptions of all scales, and also the relationship of these systems to growth and evolution of the continental crust, geothermal energy generation, and economic mineral resources - including both lithium and rare-earth elements that are critical to the green economy and building a sustainable future.</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The multifaced nature of this project allows the student to take part in a variety of research tasks in support of the overall project. It also allows flexibility for the student to focus their efforts on more specific aspects of the project as they discover where their interests are. Primary tasks will be:</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1)Mineral separation and sample prep. This entails separating and concentrating target minerals from collected rock samples using physical, magnetic, and liquid-density techniques - and then mounting them in epoxy for analyses.</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2)Mineral characterization and imaging. The intern will characterize mineral textures and zoning using petrographic microscopes. The student will then learn to operate the more advanced Scanning Electron Microscope to create detailed images of individual crystals and their internal zoning, identify mineral textures and inclusions unseen with petrographic microscopes, and to map mounts to create targets for analysis.</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3)Assisting with data collection. The student will assist the faculty mentor, graduate students, and other collaborators in collecting in-situ compositional analysis of major and trace elements, and isotopes, in the mineral samples via either LA-ICPMS at NAU, the electron microprobe (EPMA) at Stanford University.</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Additionally, based on student interest, the student will be encouraged to learn and/or participate in:</w:t>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•Field work for mapping and sample collection.</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•Data manipulation, analysis, and interpretation at the appropriate scale to address research questions of the project, or additional questions developed by the student.</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•Presentation and dissemination of research results at NAU research symposium, and potentially regional and/or national geoscience conferences</w:t>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Student work will involve sample prep, hands-on data collection and analysis, synthesis with literature, and dissemination of results via presentations at NAU symposia, conferences, and co-authorship on eventual publications. Altogether, it will provide them with exposure to modern research methods and analytical techniques promote their success and achievement while in school, and to give them the concepts, skills, and competencies to succeed in their future career.</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Geoscience students will work in fields critical for a sustainable future, including water resources, climate resilience, and meeting global energy needs. Success in these fields demands strong quantitative and critical thinking skills, the ability to collect and interpret relevant data, and versatile communication skills.</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Lastly, students who participate in research gain increased technical skills and STEM literacy, sharpened ability to collaborate and communicate, and personal gains including increased self-efficacy and sense of belonging in STEM. They are better prepared for post-graduation success by building the skills, relationships, and confidence needed for both lifelong learning and success in positions where they will work to build a sustainable future.</w:t>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The student intern will ideally have taken, or be enrolled in, GLG 309: Earth Materials as this course provides essential knowledge and skills relevant to the project.</w:t>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paE5b3Nw0u/6YJ+pSXhY4WXCA==">CgMxLjA4AHIhMV9QSG5md1FtQ08yWHJudTBwVjJuU2JZdFZDX2dqYWVL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