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Exploring ground-dwelling insect diversity in managed aspen stands in Arizona</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Aspen is an ecologically and aesthetically important tree species in the western US. In Arizona and neighboring regions, aspen has been threatened by an invasive insect called oystershell scale (Lepidosaphes ulmi; OSS). Tree mortality caused by OSS potentially alters native biodiversity and ecosystem services. We have implemented treatments to mitigate negative impacts of OSS and maintain healthy aspen forests. These include full and partial tree removals, prescribed fire, and chemical pesticides. However, the impacts of these treatments on native biodiversity have not been studied and are therefore unknown.</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Insects can be good indicators of changes in biodiversity because they are sensitive to disturbance. The goal of this project is to explore whether the treatments are impacting ground-dwelling insect diversity. Previous field collections have been completed in areas where chemical pesticides were used to treat OSS infestations. During the summer of 2026, we will collect insect samples from the remaining treatment areas using pitfall traps installed in the ground. We will collect 400 samples (4 per trap, 100 traps total). Following collection, samples need to be processed, insects identified and counted, and data recorded from each sample. Data will then be analyzed and included in a Ph.D. dissertation and manuscripts prepared for peer-review. Results will be used to support conclusions about the efficacy and impacts of managing OSS infestations in aspen of northern Arizona.</w:t>
      </w:r>
    </w:p>
    <w:p w:rsidR="00000000" w:rsidDel="00000000" w:rsidP="00000000" w:rsidRDefault="00000000" w:rsidRPr="00000000" w14:paraId="00000007">
      <w:pPr>
        <w:spacing w:line="240" w:lineRule="auto"/>
        <w:rPr>
          <w:sz w:val="20"/>
          <w:szCs w:val="20"/>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The student will be trained and mentored by Ph.D. student Abiral Acharya and professor Kristen Waring to work in a lab environment to process samples, identify multiple insect taxa, record and manage data. Processing the pitfall samples includes cleaning, preserving and storing the insects collected in ethanol. They will use digital microscopes to identify and count individual insect taxa collected in each trap. The student will be guided to identify insect orders, and record and manage data.</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student will learn basic research and lab skills, including entomological techniques for sampling, collecting, and preserving insect specimens and data collection and management. They will learn about ground-dwelling insects in aspen ecosystems and how invasive species and management influence their abundance. They will develop analytical skills in distinguishing insect taxa, as well as broad understanding of entomology, forest health and management strategies to meet forest health objectives. Basic data analytical skills may be learned if time allows.</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The student will have opportunities to network with graduate students, faculty researchers and entomologists in the School of Forestry and the USDA Forest Service. They will attend lab meetings, learn about other research projects, and enter into discussions about new research ideas and projects. They will have opportunities to develop a poster presentation, with guidance from the mentoring team, and contribute to other research outcomes as the opportunities arise. The student will learn about opportunities to apply for funding to conduct their own independent research project, including the Hooper Undergraduate Research Award..</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Preferred majors are forestry, biology, environmental science, or related.</w:t>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7VQCYdhy/u4Al7Zd6LXBdKIA==">CgMxLjA4AHIhMXJiakFZWWlIdk02Ym1vM1hJVUIwcUJjdWJibzQycnd2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