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Weakly Nonlinear Thermophysical Modeling of Asteroids and Its Impact on Yarkovsky-Driven Orbital Evolution</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4">
      <w:pPr>
        <w:spacing w:line="240" w:lineRule="auto"/>
        <w:rPr>
          <w:sz w:val="20"/>
          <w:szCs w:val="20"/>
        </w:rPr>
      </w:pPr>
      <w:r w:rsidDel="00000000" w:rsidR="00000000" w:rsidRPr="00000000">
        <w:rPr>
          <w:sz w:val="20"/>
          <w:szCs w:val="20"/>
          <w:rtl w:val="0"/>
        </w:rPr>
        <w:t xml:space="preserve">This project investigates how heat flow on asteroid surfaces affects their orbital evolution. Small asteroids experience a subtle force (the Yarkovsky effect) due to delayed thermal emission, which can slowly change their orbits over time. Standard models assume simplified, linear heat transport, but real asteroid surfaces exhibit nonlinear behavior due to radiative cooling and complex surface properties.</w:t>
      </w:r>
    </w:p>
    <w:p w:rsidR="00000000" w:rsidDel="00000000" w:rsidP="00000000" w:rsidRDefault="00000000" w:rsidRPr="00000000" w14:paraId="00000005">
      <w:pPr>
        <w:spacing w:line="240" w:lineRule="auto"/>
        <w:rPr>
          <w:sz w:val="20"/>
          <w:szCs w:val="20"/>
        </w:rPr>
      </w:pPr>
      <w:r w:rsidDel="00000000" w:rsidR="00000000" w:rsidRPr="00000000">
        <w:rPr>
          <w:rtl w:val="0"/>
        </w:rPr>
      </w:r>
    </w:p>
    <w:p w:rsidR="00000000" w:rsidDel="00000000" w:rsidP="00000000" w:rsidRDefault="00000000" w:rsidRPr="00000000" w14:paraId="00000006">
      <w:pPr>
        <w:spacing w:line="240" w:lineRule="auto"/>
        <w:rPr>
          <w:sz w:val="20"/>
          <w:szCs w:val="20"/>
        </w:rPr>
      </w:pPr>
      <w:r w:rsidDel="00000000" w:rsidR="00000000" w:rsidRPr="00000000">
        <w:rPr>
          <w:sz w:val="20"/>
          <w:szCs w:val="20"/>
          <w:rtl w:val="0"/>
        </w:rPr>
        <w:t xml:space="preserve">The student will help explore how these weak nonlinear effects modify the timing and distribution of thermal emission, and how this alters long-term orbital drift. This work connects thermal physics, differential equations, and orbital dynamics, and contributes to improving models used to predict asteroid trajectories and assess impact risk.</w:t>
      </w:r>
    </w:p>
    <w:p w:rsidR="00000000" w:rsidDel="00000000" w:rsidP="00000000" w:rsidRDefault="00000000" w:rsidRPr="00000000" w14:paraId="00000007">
      <w:pPr>
        <w:spacing w:line="240" w:lineRule="auto"/>
        <w:rPr>
          <w:sz w:val="20"/>
          <w:szCs w:val="20"/>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The student will work with the PI to develop and explore simple computational models of heat flow on asteroid surfaces. Tasks will include solving basic differential equations numerically, analyzing periodic signals, and visualizing how temperature variations lead to forces that affect orbital motion.</w:t>
      </w:r>
    </w:p>
    <w:p w:rsidR="00000000" w:rsidDel="00000000" w:rsidP="00000000" w:rsidRDefault="00000000" w:rsidRPr="00000000" w14:paraId="0000000A">
      <w:pPr>
        <w:spacing w:line="240" w:lineRule="auto"/>
        <w:rPr>
          <w:sz w:val="20"/>
          <w:szCs w:val="20"/>
        </w:rPr>
      </w:pPr>
      <w:r w:rsidDel="00000000" w:rsidR="00000000" w:rsidRPr="00000000">
        <w:rPr>
          <w:rtl w:val="0"/>
        </w:rPr>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The student will learn:</w:t>
      </w:r>
    </w:p>
    <w:p w:rsidR="00000000" w:rsidDel="00000000" w:rsidP="00000000" w:rsidRDefault="00000000" w:rsidRPr="00000000" w14:paraId="0000000C">
      <w:pPr>
        <w:spacing w:line="240" w:lineRule="auto"/>
        <w:rPr>
          <w:sz w:val="20"/>
          <w:szCs w:val="20"/>
        </w:rPr>
      </w:pPr>
      <w:r w:rsidDel="00000000" w:rsidR="00000000" w:rsidRPr="00000000">
        <w:rPr>
          <w:sz w:val="20"/>
          <w:szCs w:val="20"/>
          <w:rtl w:val="0"/>
        </w:rPr>
        <w:t xml:space="preserve">1. How physical models are translated into computational simulations,</w:t>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2. How to analyze time-dependent data and extract meaningful patterns,</w:t>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3. How small physical effects can accumulate into long-term dynamical changes.</w:t>
      </w:r>
    </w:p>
    <w:p w:rsidR="00000000" w:rsidDel="00000000" w:rsidP="00000000" w:rsidRDefault="00000000" w:rsidRPr="00000000" w14:paraId="0000000F">
      <w:pPr>
        <w:spacing w:line="240" w:lineRule="auto"/>
        <w:rPr>
          <w:sz w:val="20"/>
          <w:szCs w:val="20"/>
        </w:rPr>
      </w:pPr>
      <w:r w:rsidDel="00000000" w:rsidR="00000000" w:rsidRPr="00000000">
        <w:rPr>
          <w:rtl w:val="0"/>
        </w:rPr>
      </w:r>
    </w:p>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The project is designed to be accessible to early-stage undergraduates with some background in calculus and introductory programming, and will emphasize hands-on learning, mentorship, and skill-building.</w:t>
      </w:r>
    </w:p>
    <w:p w:rsidR="00000000" w:rsidDel="00000000" w:rsidP="00000000" w:rsidRDefault="00000000" w:rsidRPr="00000000" w14:paraId="00000011">
      <w:pPr>
        <w:spacing w:line="240" w:lineRule="auto"/>
        <w:rPr>
          <w:sz w:val="20"/>
          <w:szCs w:val="20"/>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This internship will provide early exposure to research in physics and astronomy, helping the student build confidence and interest in STEM careers. The student will develop transferable skills in scientific programming, problem-solving, and quantitative reasoning.</w:t>
      </w:r>
    </w:p>
    <w:p w:rsidR="00000000" w:rsidDel="00000000" w:rsidP="00000000" w:rsidRDefault="00000000" w:rsidRPr="00000000" w14:paraId="00000014">
      <w:pPr>
        <w:spacing w:line="240" w:lineRule="auto"/>
        <w:rPr>
          <w:sz w:val="20"/>
          <w:szCs w:val="20"/>
        </w:rPr>
      </w:pPr>
      <w:r w:rsidDel="00000000" w:rsidR="00000000" w:rsidRPr="00000000">
        <w:rPr>
          <w:rtl w:val="0"/>
        </w:rPr>
      </w:r>
    </w:p>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They will also gain experience working closely with a faculty mentor, including guidance on academic pathways, research opportunities, and career development. Depending on progress, the student may contribute to presentations or written reports, strengthening their portfolio for future internships, research positions, or graduate study.</w:t>
      </w:r>
    </w:p>
    <w:p w:rsidR="00000000" w:rsidDel="00000000" w:rsidP="00000000" w:rsidRDefault="00000000" w:rsidRPr="00000000" w14:paraId="00000016">
      <w:pPr>
        <w:spacing w:line="240" w:lineRule="auto"/>
        <w:rPr>
          <w:sz w:val="20"/>
          <w:szCs w:val="20"/>
        </w:rPr>
      </w:pPr>
      <w:r w:rsidDel="00000000" w:rsidR="00000000" w:rsidRPr="00000000">
        <w:rPr>
          <w:rtl w:val="0"/>
        </w:rPr>
      </w:r>
    </w:p>
    <w:p w:rsidR="00000000" w:rsidDel="00000000" w:rsidP="00000000" w:rsidRDefault="00000000" w:rsidRPr="00000000" w14:paraId="00000017">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18">
      <w:pPr>
        <w:spacing w:line="240" w:lineRule="auto"/>
        <w:rPr>
          <w:sz w:val="20"/>
          <w:szCs w:val="20"/>
        </w:rPr>
      </w:pPr>
      <w:r w:rsidDel="00000000" w:rsidR="00000000" w:rsidRPr="00000000">
        <w:rPr>
          <w:sz w:val="20"/>
          <w:szCs w:val="20"/>
          <w:rtl w:val="0"/>
        </w:rPr>
        <w:t xml:space="preserve">Preferred (but not required) qualifications include:</w:t>
      </w:r>
    </w:p>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-Completion of introductory coursework in calculus and/or physics,</w:t>
      </w:r>
    </w:p>
    <w:p w:rsidR="00000000" w:rsidDel="00000000" w:rsidP="00000000" w:rsidRDefault="00000000" w:rsidRPr="00000000" w14:paraId="0000001A">
      <w:pPr>
        <w:spacing w:line="240" w:lineRule="auto"/>
        <w:rPr>
          <w:sz w:val="20"/>
          <w:szCs w:val="20"/>
        </w:rPr>
      </w:pPr>
      <w:r w:rsidDel="00000000" w:rsidR="00000000" w:rsidRPr="00000000">
        <w:rPr>
          <w:sz w:val="20"/>
          <w:szCs w:val="20"/>
          <w:rtl w:val="0"/>
        </w:rPr>
        <w:t xml:space="preserve">-Basic familiarity with programming (e.g., Python or similar),</w:t>
      </w:r>
    </w:p>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-Interest in astronomy, physics, or applied mathematics,</w:t>
      </w:r>
    </w:p>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-Willingness to engage with open-ended problems and learn new concepts.</w:t>
      </w:r>
    </w:p>
    <w:p w:rsidR="00000000" w:rsidDel="00000000" w:rsidP="00000000" w:rsidRDefault="00000000" w:rsidRPr="00000000" w14:paraId="0000001D">
      <w:pPr>
        <w:spacing w:line="240" w:lineRule="auto"/>
        <w:rPr>
          <w:sz w:val="20"/>
          <w:szCs w:val="20"/>
        </w:rPr>
      </w:pPr>
      <w:r w:rsidDel="00000000" w:rsidR="00000000" w:rsidRPr="00000000">
        <w:rPr>
          <w:sz w:val="20"/>
          <w:szCs w:val="20"/>
          <w:rtl w:val="0"/>
        </w:rPr>
        <w:t xml:space="preserve">-Curiosity, persistence, and a willingness to learn.</w:t>
      </w:r>
    </w:p>
    <w:p w:rsidR="00000000" w:rsidDel="00000000" w:rsidP="00000000" w:rsidRDefault="00000000" w:rsidRPr="00000000" w14:paraId="0000001E">
      <w:pPr>
        <w:spacing w:line="240" w:lineRule="auto"/>
        <w:rPr>
          <w:sz w:val="20"/>
          <w:szCs w:val="20"/>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[6] hrs/week for 30 weeks </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mn/FeVMOEdMsSQjpqsjzAPdmxA==">CgMxLjA4AHIhMUxqS2xnSFRZSDNWZGxIZFNlZ1pnb0tZQ2JRM2lscE5z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