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Visual storytelling and well-being in South Tucson.</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Fotos y Recuerdos: A Photovoice Study on the Facilitators and Barriers to Well-Being Among Youth and Families</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Overview</w:t>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This study employs a photovoice participatory action research (PAR) design to examine the facilitators and barriers to well-being as experienced by youth and their parents within their communities. Rooted in community-based participatory research (CBPR) principles, this project positions youth and parents as co-investigators in the research process, centering their lived expertise as the primary source of knowledge. By engaging participants as active producers of data rather than passive subjects, the study aims to generate rich, contextualized evidence that reflects the complex realities shaping community well-being.</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Background and Rationale</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Traditional research methodologies, while valuable, frequently fail to capture the nuanced, community-specific conditions that either support or undermine youth and family flourishing. Photovoice, originally developed by Wang and Burris (1997), addresses this gap by combining photography, critical dialogue, and community action to surface knowledge that is both rigorous and deeply grounded in participants’ lived experience.</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The photovoice method is particularly well-suited for research with this population, as it offers a creative, accessible modality for expression that does not rely solely on verbal or written communication. Engaging parents alongside their children also allows for an intergenerational perspective on community well-being, illuminating both shared and divergent experiences across age groups. This dual-generation approach enriches the dataset and ensures that findings reflect the broader family and community ecosystem.</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Research Questions</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This study is guided by the following primary research questions:</w:t>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1. What do adolescents and their parents identify as the key facilitators of well-being within their communities?</w:t>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2. What do adolescents and their parents identify as the primary barriers to well-being within their communities?</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3. How do the perspectives of teens and parents converge or diverge in their understandings of community well-being?</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4. What community-level changes do participants identify as priorities for improving well-being?</w:t>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Methodology</w:t>
      </w:r>
    </w:p>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Design</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This study utilizes a photovoice participatory action research design, a qualitative methodology that integrates visual data production, critical reflection, and community dialogue. Photovoice is grounded theoretically in Freirean concepts of critical consciousness and empowerment, feminist theory, and documentary photography. Participants are trained as community researchers, equipped to document their environments and engage in structured critical analysis of the images they produce.</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Participants</w:t>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Participants will include youth and their parents or caregivers, recruited from within a defined community setting. Purposive sampling will be used to ensure representation across relevant demographic characteristics, including age, gender, and community context.</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Procedures</w:t>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The research will unfold across three phases. In the first phase, participants will complete an orientation and training process covering the ethical use of photography in community settings, the goals of the research, and the principles of photovoice methodology. Participants will be provided with cameras or supported in using their personal devices to document aspects of their community that they perceive as relevant to well-being.</w:t>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In the second phase, participants will engage in a series of structured group discussion sessions facilitated by the research team. Discussions will be audio-recorded and transcribed for analysis. This phase centers participant voice in the production of meaning, with the research team serving in a facilitative rather than interpretive role.</w:t>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In the third phase, participants will collaboratively select photographs and narratives to be compiled into a community exhibition or report. This dissemination artifact serves both as a culminating research product and as a community advocacy tool, designed to communicate findings to program administrators, policymakers, and other stakeholders.</w:t>
      </w:r>
    </w:p>
    <w:p w:rsidR="00000000" w:rsidDel="00000000" w:rsidP="00000000" w:rsidRDefault="00000000" w:rsidRPr="00000000" w14:paraId="0000001A">
      <w:pPr>
        <w:spacing w:line="240" w:lineRule="auto"/>
        <w:rPr>
          <w:sz w:val="20"/>
          <w:szCs w:val="20"/>
        </w:rPr>
      </w:pPr>
      <w:r w:rsidDel="00000000" w:rsidR="00000000" w:rsidRPr="00000000">
        <w:rPr>
          <w:sz w:val="20"/>
          <w:szCs w:val="20"/>
          <w:rtl w:val="0"/>
        </w:rPr>
        <w:t xml:space="preserve">Data Analysis</w:t>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Data will be analyzed using an inductive thematic analysis approach, consistent with the epistemological commitments of participatory research. The primary data sources will include participant-produced photographs, transcripts from group discussion sessions, and field notes generated by the research team. Thematic coding will be conducted collaboratively, with participants involved in member-checking and theme validation to ensure analytic rigor and alignment with community perspectives. The trustworthiness of findings will be supported through prolonged engagement, triangulation across data sources, and reflexive journaling by the research team.</w:t>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Significance</w:t>
      </w:r>
    </w:p>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This research makes several important contributions to the fields of adolescent health, community well-being, and participatory research methodology. First, it generates empirically grounded, community-specific knowledge about the conditions that support or impede well-being for youth and families — knowledge that is directly actionable at the local level. Second, by centering the perspectives of adolescents and parents as co-producers of knowledge, the study models an ethical and equity-oriented approach to community research that challenges extractive research paradigms. Third, the intergenerational design produces comparative data across two populations whose perspectives are rarely examined in tandem, offering a more complete picture of the community well-being ecosystem.</w:t>
      </w:r>
    </w:p>
    <w:p w:rsidR="00000000" w:rsidDel="00000000" w:rsidP="00000000" w:rsidRDefault="00000000" w:rsidRPr="00000000" w14:paraId="0000001E">
      <w:pPr>
        <w:spacing w:line="240" w:lineRule="auto"/>
        <w:rPr>
          <w:sz w:val="20"/>
          <w:szCs w:val="20"/>
        </w:rPr>
      </w:pPr>
      <w:r w:rsidDel="00000000" w:rsidR="00000000" w:rsidRPr="00000000">
        <w:rPr>
          <w:sz w:val="20"/>
          <w:szCs w:val="20"/>
          <w:rtl w:val="0"/>
        </w:rPr>
        <w:t xml:space="preserve">Findings from this study have direct implications for the design and delivery of community programs, mental health services, youth development initiatives, and family support systems. The photovoice exhibition and accompanying report will serve as evidence-based advocacy tools that communities can use to inform local decision-making and resource allocation.</w:t>
      </w:r>
    </w:p>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Conclusion</w:t>
      </w:r>
    </w:p>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This photovoice study represents a rigorous, equity-centered approach to understanding the facilitators and barriers to well-being among adolescents and parents. By combining systematic qualitative inquiry with meaningful community participation, the project generates knowledge that is simultaneously academically credible and practically relevant. The study's participatory design ensures that the research process itself is a vehicle for empowerment, building community capacity for ongoing reflection and advocacy. Support for this research will contribute to a growing body of evidence on the conditions necessary for adolescent and family flourishing, while advancing methodological innovation in community-based participatory research</w:t>
      </w:r>
    </w:p>
    <w:p w:rsidR="00000000" w:rsidDel="00000000" w:rsidP="00000000" w:rsidRDefault="00000000" w:rsidRPr="00000000" w14:paraId="00000021">
      <w:pPr>
        <w:spacing w:line="240" w:lineRule="auto"/>
        <w:rPr>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23">
      <w:pPr>
        <w:spacing w:line="240" w:lineRule="auto"/>
        <w:rPr>
          <w:sz w:val="20"/>
          <w:szCs w:val="20"/>
        </w:rPr>
      </w:pPr>
      <w:r w:rsidDel="00000000" w:rsidR="00000000" w:rsidRPr="00000000">
        <w:rPr>
          <w:sz w:val="20"/>
          <w:szCs w:val="20"/>
          <w:rtl w:val="0"/>
        </w:rPr>
        <w:t xml:space="preserve">The undergraduate research assistant will support a participatory action research study examining the facilitators and barriers to well-being among youth and their parents. Through this experience, the intern will develop a foundational understanding of community-based participatory research (CBPR) principles and gain direct exposure to the ethical and methodological considerations that distinguish participatory approaches from traditional research paradigms.</w:t>
      </w:r>
    </w:p>
    <w:p w:rsidR="00000000" w:rsidDel="00000000" w:rsidP="00000000" w:rsidRDefault="00000000" w:rsidRPr="00000000" w14:paraId="00000024">
      <w:pPr>
        <w:spacing w:line="240" w:lineRule="auto"/>
        <w:rPr>
          <w:sz w:val="20"/>
          <w:szCs w:val="20"/>
        </w:rPr>
      </w:pPr>
      <w:r w:rsidDel="00000000" w:rsidR="00000000" w:rsidRPr="00000000">
        <w:rPr>
          <w:sz w:val="20"/>
          <w:szCs w:val="20"/>
          <w:rtl w:val="0"/>
        </w:rPr>
        <w:t xml:space="preserve">Under the supervision of the principal investigator, the intern will assist with participant recruitment and coordination, developing practical skills in community engagement, informed consent procedures, and IRB compliance. By supporting the facilitation of photovoice group discussion sessions, the intern will build competencies in qualitative data collection, active listening, and culturally responsive facilitation with diverse populations including adolescents and their caregivers.</w:t>
      </w:r>
    </w:p>
    <w:p w:rsidR="00000000" w:rsidDel="00000000" w:rsidP="00000000" w:rsidRDefault="00000000" w:rsidRPr="00000000" w14:paraId="00000025">
      <w:pPr>
        <w:spacing w:line="240" w:lineRule="auto"/>
        <w:rPr>
          <w:sz w:val="20"/>
          <w:szCs w:val="20"/>
        </w:rPr>
      </w:pPr>
      <w:r w:rsidDel="00000000" w:rsidR="00000000" w:rsidRPr="00000000">
        <w:rPr>
          <w:sz w:val="20"/>
          <w:szCs w:val="20"/>
          <w:rtl w:val="0"/>
        </w:rPr>
        <w:t xml:space="preserve">The intern will assist with the ethical management of participant data — including photographs, audio recordings, and transcripts — gaining hands-on experience in research data organization, confidentiality protocols, and responsible handling of sensitive community-generated materials. Through involvement in preliminary qualitative coding and thematic analysis under close faculty mentorship, the intern will develop analytical skills in interpreting narrative and visual data, learning to identify patterns and themes that reflect community lived experience.</w:t>
      </w:r>
    </w:p>
    <w:p w:rsidR="00000000" w:rsidDel="00000000" w:rsidP="00000000" w:rsidRDefault="00000000" w:rsidRPr="00000000" w14:paraId="00000026">
      <w:pPr>
        <w:spacing w:line="240" w:lineRule="auto"/>
        <w:rPr>
          <w:sz w:val="20"/>
          <w:szCs w:val="20"/>
        </w:rPr>
      </w:pPr>
      <w:r w:rsidDel="00000000" w:rsidR="00000000" w:rsidRPr="00000000">
        <w:rPr>
          <w:sz w:val="20"/>
          <w:szCs w:val="20"/>
          <w:rtl w:val="0"/>
        </w:rPr>
        <w:t xml:space="preserve">The intern will also contribute to the development of the community exhibition or dissemination report, building an understanding of how research findings are translated into accessible, advocacy-oriented products for non-academic audiences. Supporting literature reviews will strengthen the intern's ability to critically evaluate scholarly sources and situate empirical findings within existing theoretical frameworks.</w:t>
      </w:r>
    </w:p>
    <w:p w:rsidR="00000000" w:rsidDel="00000000" w:rsidP="00000000" w:rsidRDefault="00000000" w:rsidRPr="00000000" w14:paraId="00000027">
      <w:pPr>
        <w:spacing w:line="240" w:lineRule="auto"/>
        <w:rPr>
          <w:sz w:val="20"/>
          <w:szCs w:val="20"/>
        </w:rPr>
      </w:pPr>
      <w:r w:rsidDel="00000000" w:rsidR="00000000" w:rsidRPr="00000000">
        <w:rPr>
          <w:sz w:val="20"/>
          <w:szCs w:val="20"/>
          <w:rtl w:val="0"/>
        </w:rPr>
        <w:t xml:space="preserve">Collectively, this role provides a rigorous and mentored introduction to the full arc of a qualitative research study — from design and recruitment through data collection, analysis, and dissemination. Interns will leave with transferable skills in research ethics, qualitative methods, community engagement, and scientific communication, providing a strong foundation for graduate study or a career in public health, social work, psychology, community development, or a related field</w:t>
      </w:r>
    </w:p>
    <w:p w:rsidR="00000000" w:rsidDel="00000000" w:rsidP="00000000" w:rsidRDefault="00000000" w:rsidRPr="00000000" w14:paraId="00000028">
      <w:pPr>
        <w:spacing w:line="240" w:lineRule="auto"/>
        <w:rPr>
          <w:sz w:val="20"/>
          <w:szCs w:val="20"/>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2A">
      <w:pPr>
        <w:spacing w:line="240" w:lineRule="auto"/>
        <w:rPr>
          <w:sz w:val="20"/>
          <w:szCs w:val="20"/>
        </w:rPr>
      </w:pPr>
      <w:r w:rsidDel="00000000" w:rsidR="00000000" w:rsidRPr="00000000">
        <w:rPr>
          <w:sz w:val="20"/>
          <w:szCs w:val="20"/>
          <w:rtl w:val="0"/>
        </w:rPr>
        <w:t xml:space="preserve">The student who will participate in this project will also have the opportunity to learn how to work with bicultural, bilingual communities in Arizona. Some potential learning opportunities are: Developing awareness of one's own cultural assumptions and biases as a researcher. Learning to engage respectfully and effectively across cultural and linguistic differences</w:t>
      </w:r>
    </w:p>
    <w:p w:rsidR="00000000" w:rsidDel="00000000" w:rsidP="00000000" w:rsidRDefault="00000000" w:rsidRPr="00000000" w14:paraId="0000002B">
      <w:pPr>
        <w:spacing w:line="240" w:lineRule="auto"/>
        <w:rPr>
          <w:sz w:val="20"/>
          <w:szCs w:val="20"/>
        </w:rPr>
      </w:pPr>
      <w:r w:rsidDel="00000000" w:rsidR="00000000" w:rsidRPr="00000000">
        <w:rPr>
          <w:sz w:val="20"/>
          <w:szCs w:val="20"/>
          <w:rtl w:val="0"/>
        </w:rPr>
        <w:t xml:space="preserve">Understanding the historical and sociopolitical context of Latino/Hispanic communities in Arizona, including immigration, border identity, and systemic inequities.</w:t>
      </w:r>
    </w:p>
    <w:p w:rsidR="00000000" w:rsidDel="00000000" w:rsidP="00000000" w:rsidRDefault="00000000" w:rsidRPr="00000000" w14:paraId="0000002C">
      <w:pPr>
        <w:spacing w:line="240" w:lineRule="auto"/>
        <w:rPr>
          <w:sz w:val="20"/>
          <w:szCs w:val="20"/>
        </w:rPr>
      </w:pPr>
      <w:r w:rsidDel="00000000" w:rsidR="00000000" w:rsidRPr="00000000">
        <w:rPr>
          <w:rtl w:val="0"/>
        </w:rPr>
      </w:r>
    </w:p>
    <w:p w:rsidR="00000000" w:rsidDel="00000000" w:rsidP="00000000" w:rsidRDefault="00000000" w:rsidRPr="00000000" w14:paraId="0000002D">
      <w:pPr>
        <w:spacing w:line="240" w:lineRule="auto"/>
        <w:rPr>
          <w:sz w:val="20"/>
          <w:szCs w:val="20"/>
        </w:rPr>
      </w:pPr>
      <w:r w:rsidDel="00000000" w:rsidR="00000000" w:rsidRPr="00000000">
        <w:rPr>
          <w:sz w:val="20"/>
          <w:szCs w:val="20"/>
          <w:rtl w:val="0"/>
        </w:rPr>
        <w:t xml:space="preserve">Community-Engaged &amp; Equity-Centered Research</w:t>
      </w:r>
    </w:p>
    <w:p w:rsidR="00000000" w:rsidDel="00000000" w:rsidP="00000000" w:rsidRDefault="00000000" w:rsidRPr="00000000" w14:paraId="0000002E">
      <w:pPr>
        <w:spacing w:line="240" w:lineRule="auto"/>
        <w:rPr>
          <w:sz w:val="20"/>
          <w:szCs w:val="20"/>
        </w:rPr>
      </w:pP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Understanding how social determinants of health shape community well-being outcomes.</w:t>
      </w:r>
    </w:p>
    <w:p w:rsidR="00000000" w:rsidDel="00000000" w:rsidP="00000000" w:rsidRDefault="00000000" w:rsidRPr="00000000" w14:paraId="00000030">
      <w:pPr>
        <w:spacing w:line="240" w:lineRule="auto"/>
        <w:rPr>
          <w:sz w:val="20"/>
          <w:szCs w:val="20"/>
        </w:rPr>
      </w:pPr>
      <w:r w:rsidDel="00000000" w:rsidR="00000000" w:rsidRPr="00000000">
        <w:rPr>
          <w:sz w:val="20"/>
          <w:szCs w:val="20"/>
          <w:rtl w:val="0"/>
        </w:rPr>
        <w:t xml:space="preserve">Learning to apply an equity lens to research design, data interpretation, and dissemination.</w:t>
      </w:r>
    </w:p>
    <w:p w:rsidR="00000000" w:rsidDel="00000000" w:rsidP="00000000" w:rsidRDefault="00000000" w:rsidRPr="00000000" w14:paraId="00000031">
      <w:pPr>
        <w:spacing w:line="240" w:lineRule="auto"/>
        <w:rPr>
          <w:sz w:val="20"/>
          <w:szCs w:val="20"/>
        </w:rPr>
      </w:pPr>
      <w:r w:rsidDel="00000000" w:rsidR="00000000" w:rsidRPr="00000000">
        <w:rPr>
          <w:sz w:val="20"/>
          <w:szCs w:val="20"/>
          <w:rtl w:val="0"/>
        </w:rPr>
        <w:t xml:space="preserve">Recognizing the ethical responsibilities of researchers working with historically marginalized communities</w:t>
      </w:r>
    </w:p>
    <w:p w:rsidR="00000000" w:rsidDel="00000000" w:rsidP="00000000" w:rsidRDefault="00000000" w:rsidRPr="00000000" w14:paraId="00000032">
      <w:pPr>
        <w:spacing w:line="240" w:lineRule="auto"/>
        <w:rPr>
          <w:sz w:val="20"/>
          <w:szCs w:val="20"/>
        </w:rPr>
      </w:pPr>
      <w:r w:rsidDel="00000000" w:rsidR="00000000" w:rsidRPr="00000000">
        <w:rPr>
          <w:rtl w:val="0"/>
        </w:rPr>
      </w:r>
    </w:p>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Bilingual Research Practice</w:t>
      </w:r>
    </w:p>
    <w:p w:rsidR="00000000" w:rsidDel="00000000" w:rsidP="00000000" w:rsidRDefault="00000000" w:rsidRPr="00000000" w14:paraId="00000034">
      <w:pPr>
        <w:spacing w:line="240" w:lineRule="auto"/>
        <w:rPr>
          <w:sz w:val="20"/>
          <w:szCs w:val="20"/>
        </w:rPr>
      </w:pPr>
      <w:r w:rsidDel="00000000" w:rsidR="00000000" w:rsidRPr="00000000">
        <w:rPr>
          <w:rtl w:val="0"/>
        </w:rPr>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Gaining exposure to the methodological considerations of conducting research across languages, including translation, back-translation, and linguistic equivalence</w:t>
      </w:r>
    </w:p>
    <w:p w:rsidR="00000000" w:rsidDel="00000000" w:rsidP="00000000" w:rsidRDefault="00000000" w:rsidRPr="00000000" w14:paraId="00000036">
      <w:pPr>
        <w:spacing w:line="240" w:lineRule="auto"/>
        <w:rPr>
          <w:sz w:val="20"/>
          <w:szCs w:val="20"/>
        </w:rPr>
      </w:pPr>
      <w:r w:rsidDel="00000000" w:rsidR="00000000" w:rsidRPr="00000000">
        <w:rPr>
          <w:sz w:val="20"/>
          <w:szCs w:val="20"/>
          <w:rtl w:val="0"/>
        </w:rPr>
        <w:t xml:space="preserve">Understanding how language access shapes participant engagement, data quality, and community trust</w:t>
      </w:r>
    </w:p>
    <w:p w:rsidR="00000000" w:rsidDel="00000000" w:rsidP="00000000" w:rsidRDefault="00000000" w:rsidRPr="00000000" w14:paraId="00000037">
      <w:pPr>
        <w:spacing w:line="240" w:lineRule="auto"/>
        <w:rPr>
          <w:sz w:val="20"/>
          <w:szCs w:val="20"/>
        </w:rPr>
      </w:pPr>
      <w:r w:rsidDel="00000000" w:rsidR="00000000" w:rsidRPr="00000000">
        <w:rPr>
          <w:rtl w:val="0"/>
        </w:rPr>
      </w:r>
    </w:p>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Professional &amp; Interpersonal Development</w:t>
      </w:r>
    </w:p>
    <w:p w:rsidR="00000000" w:rsidDel="00000000" w:rsidP="00000000" w:rsidRDefault="00000000" w:rsidRPr="00000000" w14:paraId="00000039">
      <w:pPr>
        <w:spacing w:line="240" w:lineRule="auto"/>
        <w:rPr>
          <w:sz w:val="20"/>
          <w:szCs w:val="20"/>
        </w:rPr>
      </w:pPr>
      <w:r w:rsidDel="00000000" w:rsidR="00000000" w:rsidRPr="00000000">
        <w:rPr>
          <w:rtl w:val="0"/>
        </w:rPr>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Building cross-cultural communication skills applicable to professional settings in health, social services, education, and policy</w:t>
      </w:r>
    </w:p>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Developing adaptability and reflexivity when navigating complex community dynamics</w:t>
      </w:r>
    </w:p>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Strengthening Spanish language skills in a professional and community research context (if applicable)</w:t>
      </w:r>
    </w:p>
    <w:p w:rsidR="00000000" w:rsidDel="00000000" w:rsidP="00000000" w:rsidRDefault="00000000" w:rsidRPr="00000000" w14:paraId="0000003D">
      <w:pPr>
        <w:spacing w:line="240" w:lineRule="auto"/>
        <w:rPr>
          <w:sz w:val="20"/>
          <w:szCs w:val="20"/>
        </w:rPr>
      </w:pPr>
      <w:r w:rsidDel="00000000" w:rsidR="00000000" w:rsidRPr="00000000">
        <w:rPr>
          <w:rtl w:val="0"/>
        </w:rPr>
      </w:r>
    </w:p>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Civic &amp; Social Justice Orientation</w:t>
      </w:r>
    </w:p>
    <w:p w:rsidR="00000000" w:rsidDel="00000000" w:rsidP="00000000" w:rsidRDefault="00000000" w:rsidRPr="00000000" w14:paraId="0000003F">
      <w:pPr>
        <w:spacing w:line="240" w:lineRule="auto"/>
        <w:rPr>
          <w:sz w:val="20"/>
          <w:szCs w:val="20"/>
        </w:rPr>
      </w:pPr>
      <w:r w:rsidDel="00000000" w:rsidR="00000000" w:rsidRPr="00000000">
        <w:rPr>
          <w:rtl w:val="0"/>
        </w:rPr>
      </w:r>
    </w:p>
    <w:p w:rsidR="00000000" w:rsidDel="00000000" w:rsidP="00000000" w:rsidRDefault="00000000" w:rsidRPr="00000000" w14:paraId="00000040">
      <w:pPr>
        <w:spacing w:line="240" w:lineRule="auto"/>
        <w:rPr>
          <w:sz w:val="20"/>
          <w:szCs w:val="20"/>
        </w:rPr>
      </w:pPr>
      <w:r w:rsidDel="00000000" w:rsidR="00000000" w:rsidRPr="00000000">
        <w:rPr>
          <w:sz w:val="20"/>
          <w:szCs w:val="20"/>
          <w:rtl w:val="0"/>
        </w:rPr>
        <w:t xml:space="preserve">Deepening understanding of participatory research as a tool for social change and community empowerment</w:t>
      </w:r>
    </w:p>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Connecting research findings to real-world advocacy and policy implications at the local and state level</w:t>
      </w:r>
    </w:p>
    <w:p w:rsidR="00000000" w:rsidDel="00000000" w:rsidP="00000000" w:rsidRDefault="00000000" w:rsidRPr="00000000" w14:paraId="00000042">
      <w:pPr>
        <w:spacing w:line="240" w:lineRule="auto"/>
        <w:rPr>
          <w:sz w:val="20"/>
          <w:szCs w:val="20"/>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44">
      <w:pPr>
        <w:spacing w:line="240" w:lineRule="auto"/>
        <w:rPr>
          <w:sz w:val="20"/>
          <w:szCs w:val="20"/>
        </w:rPr>
      </w:pPr>
      <w:r w:rsidDel="00000000" w:rsidR="00000000" w:rsidRPr="00000000">
        <w:rPr>
          <w:sz w:val="20"/>
          <w:szCs w:val="20"/>
          <w:rtl w:val="0"/>
        </w:rPr>
        <w:t xml:space="preserve">Bilingual in English and Spanish</w:t>
      </w:r>
    </w:p>
    <w:p w:rsidR="00000000" w:rsidDel="00000000" w:rsidP="00000000" w:rsidRDefault="00000000" w:rsidRPr="00000000" w14:paraId="00000045">
      <w:pPr>
        <w:spacing w:line="240" w:lineRule="auto"/>
        <w:rPr>
          <w:sz w:val="20"/>
          <w:szCs w:val="20"/>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[5] hrs/week for 30 weeks </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Sq2D+cX7XGIe4g6/w2HWE3zIw==">CgMxLjA4AHIhMVc2MFRfS2QxUDNFVl9KTkQ0dkZ6M3dPWHhTRzM0Vkxq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