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Interdisciplinary Global Programs (IGP) is a complex, 5-year program that integrates academic, linguistic, cultural, and internship components. While the number of students participating in IGP is growing, the program requires significant institutional support to ensure retention, progression, and successful outcomes. However, there is limited research on which support structures most effectively contribute to student success in interdisciplinary global programs like IGP, particularly from the student perspective. The purpose of this study is to examine which forms of support students perceive as most critical for their success within the IGP. Specifically, the study explores how students experience and interpret advising, peer mentoring, pre-departure preparation, education abroad support, and internship support across the IGP pipeline.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Data Collection</w:t>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 Support the preparation of interview materials and protocols</w:t>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 Assist in recruiting IGP student participants</w:t>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 Schedule and coordinate semi-structured interviews</w:t>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 Take detailed notes during interviews</w:t>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Data Management and Analysis</w:t>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 Transcribe and clean interview data</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 Assist with coding qualitative data (NVivo)</w: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 Assist in organizing data into structured formats</w:t>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 Assist in Identifying emerging themes</w:t>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Reporting</w:t>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 Write a summary report and research briefs</w:t>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 Develop a presentation for IGP and CIE</w:t>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 Document findings for program improvement</w:t>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Learning Outcomes</w:t>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By the end of the internship, the student will:</w:t>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 Learn about some applications of the qualitative research methods in higher education settings</w:t>
      </w:r>
    </w:p>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 Learn how to conduct and support semi-structured interviews</w:t>
      </w:r>
    </w:p>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 Learn how to analyze qualitative data using coding techniques</w:t>
      </w:r>
    </w:p>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 how research informs program design and student success initiatives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Arial" w:cs="Arial" w:eastAsia="Arial" w:hAnsi="Arial"/>
          <w:sz w:val="20"/>
          <w:szCs w:val="20"/>
          <w:rtl w:val="0"/>
        </w:rPr>
        <w:t xml:space="preserve">* Develop professional communication and project management skills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 Research skills</w:t>
      </w:r>
    </w:p>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 international education opportunities available to NAU students through IGP</w:t>
      </w:r>
    </w:p>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 Work independently and as a member of a team in order to complete projects</w:t>
      </w:r>
    </w:p>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 Improve communication and organizational skills</w:t>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 Practice effective use of written, oral and digital literacies in order to communicate effectively in a variety of professional settings</w:t>
      </w:r>
    </w:p>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 Develop the means for lifelong practice of collaborative learning and mentoring</w:t>
      </w:r>
    </w:p>
    <w:p w:rsidR="00000000" w:rsidDel="00000000" w:rsidP="00000000" w:rsidRDefault="00000000" w:rsidRPr="00000000" w14:paraId="0000002A">
      <w:pPr>
        <w:rPr>
          <w:sz w:val="22"/>
          <w:szCs w:val="22"/>
        </w:rPr>
      </w:pPr>
      <w:r w:rsidDel="00000000" w:rsidR="00000000" w:rsidRPr="00000000">
        <w:rPr>
          <w:rFonts w:ascii="Arial" w:cs="Arial" w:eastAsia="Arial" w:hAnsi="Arial"/>
          <w:sz w:val="20"/>
          <w:szCs w:val="20"/>
          <w:rtl w:val="0"/>
        </w:rPr>
        <w:t xml:space="preserve">• Develop a sense of professional conduct informed by the ethical codes and practices of the professional program</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r w:rsidDel="00000000" w:rsidR="00000000" w:rsidRPr="00000000">
        <w:rPr>
          <w:rtl w:val="0"/>
        </w:rPr>
      </w:r>
    </w:p>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 Strong organizational and communication skills</w:t>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 Attention to detail and ability to handle confidential information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Arial" w:cs="Arial" w:eastAsia="Arial" w:hAnsi="Arial"/>
          <w:sz w:val="20"/>
          <w:szCs w:val="20"/>
          <w:rtl w:val="0"/>
        </w:rPr>
        <w:t xml:space="preserve">* Experience with tools such as Excel or Google Sheets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TKMJ9Ogplzcgsi1cB+CSQH/Q==">CgMxLjA4AHIhMWs0MC1PZWJYWGlyOXZPTVprT2FuN0RHWjJ5dnZLZ0Yt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