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38C5" w:rsidRPr="00E349B3" w:rsidRDefault="002C38C5" w:rsidP="002C38C5">
      <w:pPr>
        <w:jc w:val="center"/>
        <w:rPr>
          <w:b/>
          <w:sz w:val="24"/>
        </w:rPr>
      </w:pPr>
      <w:r w:rsidRPr="00E349B3">
        <w:rPr>
          <w:b/>
          <w:sz w:val="24"/>
        </w:rPr>
        <w:t xml:space="preserve">RA </w:t>
      </w:r>
      <w:r>
        <w:rPr>
          <w:b/>
          <w:sz w:val="24"/>
        </w:rPr>
        <w:t>Alcohol</w:t>
      </w:r>
      <w:r w:rsidRPr="00E349B3">
        <w:rPr>
          <w:b/>
          <w:sz w:val="24"/>
        </w:rPr>
        <w:t xml:space="preserve"> Information Guide</w:t>
      </w:r>
    </w:p>
    <w:p w:rsidR="002C38C5" w:rsidRDefault="002C38C5" w:rsidP="002C38C5"/>
    <w:p w:rsidR="002C38C5" w:rsidRPr="00E349B3" w:rsidRDefault="002C38C5" w:rsidP="002C38C5">
      <w:pPr>
        <w:rPr>
          <w:bCs/>
          <w:sz w:val="24"/>
          <w:u w:val="single"/>
        </w:rPr>
      </w:pPr>
      <w:r w:rsidRPr="00E349B3">
        <w:rPr>
          <w:bCs/>
          <w:sz w:val="24"/>
          <w:u w:val="single"/>
        </w:rPr>
        <w:t>What’s the Need?</w:t>
      </w:r>
    </w:p>
    <w:p w:rsidR="00CC0EF3" w:rsidRPr="00C6284B" w:rsidRDefault="00CC0EF3" w:rsidP="00CC0EF3">
      <w:pPr>
        <w:rPr>
          <w:bCs/>
          <w:sz w:val="24"/>
        </w:rPr>
      </w:pPr>
      <w:r>
        <w:rPr>
          <w:bCs/>
          <w:sz w:val="24"/>
        </w:rPr>
        <w:t xml:space="preserve">While </w:t>
      </w:r>
      <w:r w:rsidR="008175F4">
        <w:rPr>
          <w:bCs/>
          <w:sz w:val="24"/>
        </w:rPr>
        <w:t>not all college</w:t>
      </w:r>
      <w:r w:rsidR="00DE1B7C">
        <w:rPr>
          <w:bCs/>
          <w:sz w:val="24"/>
        </w:rPr>
        <w:t xml:space="preserve"> students drink (and many of those who d</w:t>
      </w:r>
      <w:r>
        <w:rPr>
          <w:bCs/>
          <w:sz w:val="24"/>
        </w:rPr>
        <w:t>o choose to drink, do so in moderation</w:t>
      </w:r>
      <w:r w:rsidR="00DE1B7C">
        <w:rPr>
          <w:bCs/>
          <w:sz w:val="24"/>
        </w:rPr>
        <w:t>),</w:t>
      </w:r>
      <w:r w:rsidR="008175F4">
        <w:rPr>
          <w:bCs/>
          <w:sz w:val="24"/>
        </w:rPr>
        <w:t xml:space="preserve"> </w:t>
      </w:r>
      <w:r>
        <w:rPr>
          <w:bCs/>
          <w:sz w:val="24"/>
        </w:rPr>
        <w:t>consequences of h</w:t>
      </w:r>
      <w:r w:rsidR="00DE1B7C">
        <w:rPr>
          <w:bCs/>
          <w:sz w:val="24"/>
        </w:rPr>
        <w:t>igh-risk</w:t>
      </w:r>
      <w:r>
        <w:rPr>
          <w:bCs/>
          <w:sz w:val="24"/>
        </w:rPr>
        <w:t xml:space="preserve"> drinking </w:t>
      </w:r>
      <w:r w:rsidR="008175F4">
        <w:rPr>
          <w:bCs/>
          <w:sz w:val="24"/>
        </w:rPr>
        <w:t>can be devastating fo</w:t>
      </w:r>
      <w:r w:rsidR="00DE1B7C">
        <w:rPr>
          <w:bCs/>
          <w:sz w:val="24"/>
        </w:rPr>
        <w:t>r college students, their families</w:t>
      </w:r>
      <w:r w:rsidR="008175F4">
        <w:rPr>
          <w:bCs/>
          <w:sz w:val="24"/>
        </w:rPr>
        <w:t xml:space="preserve"> and friends</w:t>
      </w:r>
      <w:r w:rsidR="00DE1B7C">
        <w:rPr>
          <w:bCs/>
          <w:sz w:val="24"/>
        </w:rPr>
        <w:t>,</w:t>
      </w:r>
      <w:r w:rsidR="008175F4">
        <w:rPr>
          <w:bCs/>
          <w:sz w:val="24"/>
        </w:rPr>
        <w:t xml:space="preserve"> and college communities at large</w:t>
      </w:r>
      <w:r w:rsidR="00DE1B7C">
        <w:rPr>
          <w:bCs/>
          <w:sz w:val="24"/>
        </w:rPr>
        <w:t xml:space="preserve">. </w:t>
      </w:r>
      <w:r w:rsidR="009935FA">
        <w:rPr>
          <w:bCs/>
          <w:sz w:val="24"/>
        </w:rPr>
        <w:t xml:space="preserve">It is important to consider </w:t>
      </w:r>
      <w:r w:rsidR="009935FA" w:rsidRPr="00490326">
        <w:rPr>
          <w:bCs/>
          <w:sz w:val="24"/>
        </w:rPr>
        <w:t xml:space="preserve">all </w:t>
      </w:r>
      <w:r w:rsidR="009935FA">
        <w:rPr>
          <w:bCs/>
          <w:sz w:val="24"/>
        </w:rPr>
        <w:t xml:space="preserve">students and their choices around alcohol when it comes to alcohol-related messaging and programming – providing risk reduction information for those who choose to drink and supporting those who </w:t>
      </w:r>
      <w:r w:rsidR="00490326">
        <w:rPr>
          <w:bCs/>
          <w:sz w:val="24"/>
        </w:rPr>
        <w:t>choose not to drink for whatever reason, by not inadvertently normalizing alcohol use in programming and messaging and providing plenty of alternative, sober events.</w:t>
      </w:r>
    </w:p>
    <w:p w:rsidR="002C38C5" w:rsidRDefault="002C38C5" w:rsidP="002C38C5">
      <w:pPr>
        <w:rPr>
          <w:bCs/>
          <w:sz w:val="24"/>
        </w:rPr>
      </w:pPr>
    </w:p>
    <w:p w:rsidR="00BA390C" w:rsidRDefault="002C38C5" w:rsidP="002C38C5">
      <w:pPr>
        <w:rPr>
          <w:bCs/>
          <w:sz w:val="24"/>
          <w:u w:val="single"/>
        </w:rPr>
      </w:pPr>
      <w:r w:rsidRPr="00E349B3">
        <w:rPr>
          <w:bCs/>
          <w:sz w:val="24"/>
          <w:u w:val="single"/>
        </w:rPr>
        <w:t xml:space="preserve">How You Can Help with </w:t>
      </w:r>
      <w:r w:rsidR="00C6284B">
        <w:rPr>
          <w:bCs/>
          <w:sz w:val="24"/>
          <w:u w:val="single"/>
        </w:rPr>
        <w:t xml:space="preserve">Alcohol </w:t>
      </w:r>
      <w:r w:rsidRPr="00E349B3">
        <w:rPr>
          <w:bCs/>
          <w:sz w:val="24"/>
          <w:u w:val="single"/>
        </w:rPr>
        <w:t xml:space="preserve">Messaging: </w:t>
      </w:r>
    </w:p>
    <w:p w:rsidR="00BA390C" w:rsidRPr="00E349B3" w:rsidRDefault="00BA390C" w:rsidP="002C38C5">
      <w:pPr>
        <w:rPr>
          <w:bCs/>
          <w:sz w:val="24"/>
          <w:u w:val="single"/>
        </w:rPr>
      </w:pPr>
    </w:p>
    <w:tbl>
      <w:tblPr>
        <w:tblStyle w:val="TableGrid"/>
        <w:tblW w:w="10795" w:type="dxa"/>
        <w:tblLook w:val="04A0" w:firstRow="1" w:lastRow="0" w:firstColumn="1" w:lastColumn="0" w:noHBand="0" w:noVBand="1"/>
      </w:tblPr>
      <w:tblGrid>
        <w:gridCol w:w="2965"/>
        <w:gridCol w:w="4140"/>
        <w:gridCol w:w="3690"/>
      </w:tblGrid>
      <w:tr w:rsidR="00BA390C" w:rsidTr="008B7AC7">
        <w:tc>
          <w:tcPr>
            <w:tcW w:w="2965" w:type="dxa"/>
            <w:vAlign w:val="center"/>
          </w:tcPr>
          <w:p w:rsidR="00BA390C" w:rsidRPr="00B50762" w:rsidRDefault="00BA390C" w:rsidP="00943323">
            <w:pPr>
              <w:jc w:val="center"/>
              <w:rPr>
                <w:b/>
                <w:bCs/>
                <w:sz w:val="24"/>
              </w:rPr>
            </w:pPr>
            <w:r w:rsidRPr="00B50762">
              <w:rPr>
                <w:b/>
                <w:bCs/>
                <w:sz w:val="24"/>
              </w:rPr>
              <w:t>Unhelpful Messages/Approaches</w:t>
            </w:r>
          </w:p>
        </w:tc>
        <w:tc>
          <w:tcPr>
            <w:tcW w:w="4140" w:type="dxa"/>
            <w:vAlign w:val="center"/>
          </w:tcPr>
          <w:p w:rsidR="00BA390C" w:rsidRPr="00B50762" w:rsidRDefault="00BA390C" w:rsidP="00943323">
            <w:pPr>
              <w:jc w:val="center"/>
              <w:rPr>
                <w:b/>
                <w:bCs/>
                <w:sz w:val="24"/>
              </w:rPr>
            </w:pPr>
            <w:r>
              <w:rPr>
                <w:b/>
                <w:bCs/>
                <w:sz w:val="24"/>
              </w:rPr>
              <w:t>Why?</w:t>
            </w:r>
          </w:p>
        </w:tc>
        <w:tc>
          <w:tcPr>
            <w:tcW w:w="3690" w:type="dxa"/>
            <w:vAlign w:val="center"/>
          </w:tcPr>
          <w:p w:rsidR="00BA390C" w:rsidRPr="00B50762" w:rsidRDefault="00BA390C" w:rsidP="00943323">
            <w:pPr>
              <w:jc w:val="center"/>
              <w:rPr>
                <w:b/>
                <w:bCs/>
                <w:sz w:val="24"/>
              </w:rPr>
            </w:pPr>
            <w:r w:rsidRPr="00B50762">
              <w:rPr>
                <w:b/>
                <w:bCs/>
                <w:sz w:val="24"/>
              </w:rPr>
              <w:t>Helpful</w:t>
            </w:r>
            <w:r w:rsidR="008B7AC7">
              <w:rPr>
                <w:b/>
                <w:bCs/>
                <w:sz w:val="24"/>
              </w:rPr>
              <w:t xml:space="preserve">         </w:t>
            </w:r>
            <w:r w:rsidRPr="00B50762">
              <w:rPr>
                <w:b/>
                <w:bCs/>
                <w:sz w:val="24"/>
              </w:rPr>
              <w:t xml:space="preserve"> Messages/Approaches</w:t>
            </w:r>
          </w:p>
        </w:tc>
      </w:tr>
      <w:tr w:rsidR="00BA390C" w:rsidTr="00B536E6">
        <w:trPr>
          <w:trHeight w:val="2825"/>
        </w:trPr>
        <w:tc>
          <w:tcPr>
            <w:tcW w:w="2965" w:type="dxa"/>
            <w:vAlign w:val="center"/>
          </w:tcPr>
          <w:p w:rsidR="00BA390C" w:rsidRPr="00B50762" w:rsidRDefault="00BA390C" w:rsidP="002944F1">
            <w:pPr>
              <w:jc w:val="center"/>
              <w:rPr>
                <w:bCs/>
                <w:sz w:val="24"/>
              </w:rPr>
            </w:pPr>
            <w:r>
              <w:rPr>
                <w:bCs/>
                <w:sz w:val="24"/>
              </w:rPr>
              <w:t>“</w:t>
            </w:r>
            <w:proofErr w:type="spellStart"/>
            <w:r w:rsidR="002944F1">
              <w:rPr>
                <w:bCs/>
                <w:sz w:val="24"/>
              </w:rPr>
              <w:t>Its</w:t>
            </w:r>
            <w:proofErr w:type="spellEnd"/>
            <w:r>
              <w:rPr>
                <w:bCs/>
                <w:sz w:val="24"/>
              </w:rPr>
              <w:t xml:space="preserve"> college – everyone drinks!”</w:t>
            </w:r>
          </w:p>
        </w:tc>
        <w:tc>
          <w:tcPr>
            <w:tcW w:w="4140" w:type="dxa"/>
            <w:vAlign w:val="center"/>
          </w:tcPr>
          <w:p w:rsidR="00BA390C" w:rsidRPr="00B50762" w:rsidRDefault="00BA390C" w:rsidP="002944F1">
            <w:pPr>
              <w:jc w:val="center"/>
              <w:rPr>
                <w:bCs/>
                <w:sz w:val="24"/>
              </w:rPr>
            </w:pPr>
            <w:r>
              <w:rPr>
                <w:bCs/>
                <w:sz w:val="24"/>
              </w:rPr>
              <w:t xml:space="preserve">Reinforcing the misperception that “everyone </w:t>
            </w:r>
            <w:r w:rsidR="002944F1">
              <w:rPr>
                <w:bCs/>
                <w:sz w:val="24"/>
              </w:rPr>
              <w:t>drinks in college</w:t>
            </w:r>
            <w:r>
              <w:rPr>
                <w:bCs/>
                <w:sz w:val="24"/>
              </w:rPr>
              <w:t xml:space="preserve">” is very unhelpful. Social norms have a significant influence on individual behavior, so it is important to present data on actual trends. Additionally, statements that normalize substance use can be isolating for students on our campus who are in recovery. </w:t>
            </w:r>
          </w:p>
        </w:tc>
        <w:tc>
          <w:tcPr>
            <w:tcW w:w="3690" w:type="dxa"/>
            <w:vAlign w:val="center"/>
          </w:tcPr>
          <w:p w:rsidR="00BA390C" w:rsidRPr="00B50762" w:rsidRDefault="002944F1" w:rsidP="00663D82">
            <w:pPr>
              <w:jc w:val="center"/>
              <w:rPr>
                <w:bCs/>
                <w:sz w:val="24"/>
              </w:rPr>
            </w:pPr>
            <w:r>
              <w:rPr>
                <w:bCs/>
                <w:sz w:val="24"/>
              </w:rPr>
              <w:t>Not all college students drink. At NAU,</w:t>
            </w:r>
            <w:r w:rsidR="00BA390C">
              <w:rPr>
                <w:bCs/>
                <w:sz w:val="24"/>
              </w:rPr>
              <w:t xml:space="preserve"> </w:t>
            </w:r>
            <w:r>
              <w:rPr>
                <w:bCs/>
                <w:sz w:val="24"/>
              </w:rPr>
              <w:t>28</w:t>
            </w:r>
            <w:r w:rsidR="00BA390C">
              <w:rPr>
                <w:bCs/>
                <w:sz w:val="24"/>
              </w:rPr>
              <w:t xml:space="preserve">% of </w:t>
            </w:r>
            <w:r w:rsidR="00663D82">
              <w:rPr>
                <w:bCs/>
                <w:sz w:val="24"/>
              </w:rPr>
              <w:t xml:space="preserve">students say they don’t drink and never have. Most of the students who do drink, typically do so in a lower-risk way, meaning following healthy drinking guidelines and using risk reduction strategies like pacing drinks to one or fewer per hour. </w:t>
            </w:r>
          </w:p>
        </w:tc>
      </w:tr>
      <w:tr w:rsidR="00BA390C" w:rsidTr="00B536E6">
        <w:trPr>
          <w:trHeight w:val="1700"/>
        </w:trPr>
        <w:tc>
          <w:tcPr>
            <w:tcW w:w="2965" w:type="dxa"/>
            <w:vAlign w:val="center"/>
          </w:tcPr>
          <w:p w:rsidR="00BA390C" w:rsidRDefault="00663D82" w:rsidP="00943323">
            <w:pPr>
              <w:jc w:val="center"/>
              <w:rPr>
                <w:bCs/>
                <w:sz w:val="24"/>
              </w:rPr>
            </w:pPr>
            <w:r>
              <w:rPr>
                <w:bCs/>
                <w:sz w:val="24"/>
              </w:rPr>
              <w:t>“Work hard, play hard!”</w:t>
            </w:r>
          </w:p>
        </w:tc>
        <w:tc>
          <w:tcPr>
            <w:tcW w:w="4140" w:type="dxa"/>
            <w:vAlign w:val="center"/>
          </w:tcPr>
          <w:p w:rsidR="00BA390C" w:rsidRDefault="00663D82" w:rsidP="00663D82">
            <w:pPr>
              <w:jc w:val="center"/>
              <w:rPr>
                <w:bCs/>
                <w:sz w:val="24"/>
              </w:rPr>
            </w:pPr>
            <w:r>
              <w:rPr>
                <w:bCs/>
                <w:sz w:val="24"/>
              </w:rPr>
              <w:t xml:space="preserve">Messages like this can promote dangerous drinking behaviors. Research has indicated that excessive drinking is correlated with short- and long-term academic, health, and social impacts.  </w:t>
            </w:r>
          </w:p>
        </w:tc>
        <w:tc>
          <w:tcPr>
            <w:tcW w:w="3690" w:type="dxa"/>
            <w:vAlign w:val="center"/>
          </w:tcPr>
          <w:p w:rsidR="00BA390C" w:rsidRDefault="00034DAA" w:rsidP="00034DAA">
            <w:pPr>
              <w:jc w:val="center"/>
              <w:rPr>
                <w:bCs/>
                <w:sz w:val="24"/>
              </w:rPr>
            </w:pPr>
            <w:r>
              <w:rPr>
                <w:bCs/>
                <w:sz w:val="24"/>
              </w:rPr>
              <w:t>Encourage your residence to strive for balance. Students should prioritize their mental and physical health and work towards balance in their lives.</w:t>
            </w:r>
          </w:p>
        </w:tc>
      </w:tr>
      <w:tr w:rsidR="00BA390C" w:rsidTr="00B536E6">
        <w:trPr>
          <w:trHeight w:val="1880"/>
        </w:trPr>
        <w:tc>
          <w:tcPr>
            <w:tcW w:w="2965" w:type="dxa"/>
            <w:vAlign w:val="center"/>
          </w:tcPr>
          <w:p w:rsidR="00BA390C" w:rsidRDefault="00BA390C" w:rsidP="002944F1">
            <w:pPr>
              <w:jc w:val="center"/>
              <w:rPr>
                <w:bCs/>
                <w:sz w:val="24"/>
              </w:rPr>
            </w:pPr>
            <w:r>
              <w:rPr>
                <w:bCs/>
                <w:sz w:val="24"/>
              </w:rPr>
              <w:t xml:space="preserve">Programs that inadvertently normalize </w:t>
            </w:r>
            <w:r w:rsidR="00663D82">
              <w:rPr>
                <w:bCs/>
                <w:sz w:val="24"/>
              </w:rPr>
              <w:t xml:space="preserve">high-risk </w:t>
            </w:r>
            <w:r w:rsidR="002944F1">
              <w:rPr>
                <w:bCs/>
                <w:sz w:val="24"/>
              </w:rPr>
              <w:t>alcohol</w:t>
            </w:r>
            <w:r>
              <w:rPr>
                <w:bCs/>
                <w:sz w:val="24"/>
              </w:rPr>
              <w:t xml:space="preserve"> use (e.g. “</w:t>
            </w:r>
            <w:r w:rsidR="002944F1">
              <w:rPr>
                <w:bCs/>
                <w:sz w:val="24"/>
              </w:rPr>
              <w:t>Cupcake Wasted” program – drinking games played with cupcakes instead of alcohol</w:t>
            </w:r>
            <w:r>
              <w:rPr>
                <w:bCs/>
                <w:sz w:val="24"/>
              </w:rPr>
              <w:t xml:space="preserve">). </w:t>
            </w:r>
          </w:p>
        </w:tc>
        <w:tc>
          <w:tcPr>
            <w:tcW w:w="4140" w:type="dxa"/>
            <w:vAlign w:val="center"/>
          </w:tcPr>
          <w:p w:rsidR="00BA390C" w:rsidRDefault="00C0608F" w:rsidP="00B428D7">
            <w:pPr>
              <w:jc w:val="center"/>
              <w:rPr>
                <w:bCs/>
                <w:sz w:val="24"/>
              </w:rPr>
            </w:pPr>
            <w:r>
              <w:rPr>
                <w:bCs/>
                <w:sz w:val="24"/>
              </w:rPr>
              <w:t xml:space="preserve">While programs like this probably seem harmless, they contribute to the normalization of </w:t>
            </w:r>
            <w:r w:rsidR="00B428D7">
              <w:rPr>
                <w:bCs/>
                <w:sz w:val="24"/>
              </w:rPr>
              <w:t>drinking games and more generally, drinking by college students</w:t>
            </w:r>
            <w:r w:rsidR="00B536E6">
              <w:rPr>
                <w:bCs/>
                <w:sz w:val="24"/>
              </w:rPr>
              <w:t>.</w:t>
            </w:r>
          </w:p>
        </w:tc>
        <w:tc>
          <w:tcPr>
            <w:tcW w:w="3690" w:type="dxa"/>
            <w:vAlign w:val="center"/>
          </w:tcPr>
          <w:p w:rsidR="00BA390C" w:rsidRDefault="00B428D7" w:rsidP="00B428D7">
            <w:pPr>
              <w:jc w:val="center"/>
              <w:rPr>
                <w:bCs/>
                <w:sz w:val="24"/>
              </w:rPr>
            </w:pPr>
            <w:r>
              <w:rPr>
                <w:bCs/>
                <w:sz w:val="24"/>
              </w:rPr>
              <w:t>Evidence-based approaches should be used to create programming (see below for some ideas!).</w:t>
            </w:r>
          </w:p>
        </w:tc>
      </w:tr>
    </w:tbl>
    <w:p w:rsidR="002C38C5" w:rsidRPr="00E349B3" w:rsidRDefault="002C38C5" w:rsidP="002C38C5">
      <w:pPr>
        <w:rPr>
          <w:bCs/>
          <w:sz w:val="24"/>
        </w:rPr>
      </w:pPr>
    </w:p>
    <w:p w:rsidR="002C38C5" w:rsidRDefault="002C38C5" w:rsidP="002C38C5">
      <w:pPr>
        <w:rPr>
          <w:bCs/>
          <w:sz w:val="24"/>
        </w:rPr>
      </w:pPr>
    </w:p>
    <w:p w:rsidR="002C38C5" w:rsidRDefault="002C38C5" w:rsidP="002C38C5">
      <w:pPr>
        <w:rPr>
          <w:bCs/>
          <w:sz w:val="24"/>
        </w:rPr>
      </w:pPr>
      <w:r w:rsidRPr="00E349B3">
        <w:rPr>
          <w:bCs/>
          <w:sz w:val="24"/>
          <w:u w:val="single"/>
        </w:rPr>
        <w:t>The Basics:</w:t>
      </w:r>
      <w:r w:rsidRPr="00E349B3">
        <w:rPr>
          <w:bCs/>
          <w:sz w:val="24"/>
        </w:rPr>
        <w:t xml:space="preserve">   </w:t>
      </w:r>
    </w:p>
    <w:p w:rsidR="005A52A3" w:rsidRDefault="00484FCC" w:rsidP="00034DAA">
      <w:pPr>
        <w:pStyle w:val="ListParagraph"/>
        <w:numPr>
          <w:ilvl w:val="0"/>
          <w:numId w:val="1"/>
        </w:numPr>
        <w:rPr>
          <w:bCs/>
          <w:sz w:val="24"/>
        </w:rPr>
      </w:pPr>
      <w:r>
        <w:rPr>
          <w:bCs/>
          <w:sz w:val="24"/>
        </w:rPr>
        <w:t>One standard drink is equal to any of the following:</w:t>
      </w:r>
    </w:p>
    <w:p w:rsidR="00484FCC" w:rsidRDefault="00484FCC" w:rsidP="00484FCC">
      <w:pPr>
        <w:pStyle w:val="ListParagraph"/>
        <w:numPr>
          <w:ilvl w:val="1"/>
          <w:numId w:val="1"/>
        </w:numPr>
        <w:rPr>
          <w:bCs/>
          <w:sz w:val="24"/>
        </w:rPr>
      </w:pPr>
      <w:r>
        <w:rPr>
          <w:bCs/>
          <w:sz w:val="24"/>
        </w:rPr>
        <w:t>12 ounces of regular beer</w:t>
      </w:r>
    </w:p>
    <w:p w:rsidR="00484FCC" w:rsidRDefault="00484FCC" w:rsidP="00484FCC">
      <w:pPr>
        <w:pStyle w:val="ListParagraph"/>
        <w:numPr>
          <w:ilvl w:val="1"/>
          <w:numId w:val="1"/>
        </w:numPr>
        <w:rPr>
          <w:bCs/>
          <w:sz w:val="24"/>
        </w:rPr>
      </w:pPr>
      <w:r>
        <w:rPr>
          <w:bCs/>
          <w:sz w:val="24"/>
        </w:rPr>
        <w:t>5 ounces of wine</w:t>
      </w:r>
    </w:p>
    <w:p w:rsidR="00484FCC" w:rsidRDefault="00484FCC" w:rsidP="004B757A">
      <w:pPr>
        <w:pStyle w:val="ListParagraph"/>
        <w:numPr>
          <w:ilvl w:val="1"/>
          <w:numId w:val="1"/>
        </w:numPr>
        <w:rPr>
          <w:bCs/>
          <w:sz w:val="24"/>
        </w:rPr>
      </w:pPr>
      <w:r>
        <w:rPr>
          <w:bCs/>
          <w:sz w:val="24"/>
        </w:rPr>
        <w:t xml:space="preserve">1.5 ounces of hard alcohol </w:t>
      </w:r>
      <w:r w:rsidR="004B757A">
        <w:rPr>
          <w:bCs/>
          <w:sz w:val="24"/>
        </w:rPr>
        <w:t>(National Institute on Alcohol Abuse and Alcoholism [NIAAA], 2015).</w:t>
      </w:r>
    </w:p>
    <w:p w:rsidR="005A52A3" w:rsidRDefault="00387BA1" w:rsidP="00034DAA">
      <w:pPr>
        <w:pStyle w:val="ListParagraph"/>
        <w:numPr>
          <w:ilvl w:val="0"/>
          <w:numId w:val="1"/>
        </w:numPr>
        <w:rPr>
          <w:bCs/>
          <w:sz w:val="24"/>
        </w:rPr>
      </w:pPr>
      <w:r>
        <w:rPr>
          <w:bCs/>
          <w:sz w:val="24"/>
        </w:rPr>
        <w:t>Binge drinking is defined as</w:t>
      </w:r>
      <w:r w:rsidR="005A52A3">
        <w:rPr>
          <w:bCs/>
          <w:sz w:val="24"/>
        </w:rPr>
        <w:t>:</w:t>
      </w:r>
      <w:r>
        <w:rPr>
          <w:bCs/>
          <w:sz w:val="24"/>
        </w:rPr>
        <w:t xml:space="preserve"> </w:t>
      </w:r>
    </w:p>
    <w:p w:rsidR="005A52A3" w:rsidRDefault="00484FCC" w:rsidP="005A52A3">
      <w:pPr>
        <w:pStyle w:val="ListParagraph"/>
        <w:numPr>
          <w:ilvl w:val="1"/>
          <w:numId w:val="1"/>
        </w:numPr>
        <w:rPr>
          <w:bCs/>
          <w:sz w:val="24"/>
        </w:rPr>
      </w:pPr>
      <w:r>
        <w:rPr>
          <w:bCs/>
          <w:sz w:val="24"/>
        </w:rPr>
        <w:t>Males</w:t>
      </w:r>
      <w:r w:rsidR="005A52A3">
        <w:rPr>
          <w:bCs/>
          <w:sz w:val="24"/>
        </w:rPr>
        <w:t xml:space="preserve">: </w:t>
      </w:r>
      <w:r w:rsidR="00387BA1">
        <w:rPr>
          <w:bCs/>
          <w:sz w:val="24"/>
        </w:rPr>
        <w:t>5 or more drinks</w:t>
      </w:r>
      <w:r w:rsidR="005A52A3">
        <w:rPr>
          <w:bCs/>
          <w:sz w:val="24"/>
        </w:rPr>
        <w:t xml:space="preserve"> per day</w:t>
      </w:r>
      <w:r w:rsidR="00387BA1">
        <w:rPr>
          <w:bCs/>
          <w:sz w:val="24"/>
        </w:rPr>
        <w:t xml:space="preserve"> </w:t>
      </w:r>
    </w:p>
    <w:p w:rsidR="005A52A3" w:rsidRDefault="00484FCC" w:rsidP="005A52A3">
      <w:pPr>
        <w:pStyle w:val="ListParagraph"/>
        <w:numPr>
          <w:ilvl w:val="1"/>
          <w:numId w:val="1"/>
        </w:numPr>
        <w:rPr>
          <w:bCs/>
          <w:sz w:val="24"/>
        </w:rPr>
      </w:pPr>
      <w:r>
        <w:rPr>
          <w:bCs/>
          <w:sz w:val="24"/>
        </w:rPr>
        <w:t>Females</w:t>
      </w:r>
      <w:r w:rsidR="005A52A3">
        <w:rPr>
          <w:bCs/>
          <w:sz w:val="24"/>
        </w:rPr>
        <w:t xml:space="preserve">: 4 or more drinks per day (NIAAA, 2015) </w:t>
      </w:r>
    </w:p>
    <w:p w:rsidR="005A52A3" w:rsidRDefault="005A52A3" w:rsidP="00034DAA">
      <w:pPr>
        <w:pStyle w:val="ListParagraph"/>
        <w:numPr>
          <w:ilvl w:val="0"/>
          <w:numId w:val="1"/>
        </w:numPr>
        <w:rPr>
          <w:bCs/>
          <w:sz w:val="24"/>
        </w:rPr>
      </w:pPr>
      <w:r>
        <w:rPr>
          <w:bCs/>
          <w:sz w:val="24"/>
        </w:rPr>
        <w:t xml:space="preserve">Low-risk drinking is defined as: </w:t>
      </w:r>
    </w:p>
    <w:p w:rsidR="005A52A3" w:rsidRDefault="005A52A3" w:rsidP="005A52A3">
      <w:pPr>
        <w:pStyle w:val="ListParagraph"/>
        <w:numPr>
          <w:ilvl w:val="1"/>
          <w:numId w:val="1"/>
        </w:numPr>
        <w:rPr>
          <w:bCs/>
          <w:sz w:val="24"/>
        </w:rPr>
      </w:pPr>
      <w:r>
        <w:rPr>
          <w:bCs/>
          <w:sz w:val="24"/>
        </w:rPr>
        <w:t>M</w:t>
      </w:r>
      <w:r w:rsidR="00484FCC">
        <w:rPr>
          <w:bCs/>
          <w:sz w:val="24"/>
        </w:rPr>
        <w:t>ales</w:t>
      </w:r>
      <w:r>
        <w:rPr>
          <w:bCs/>
          <w:sz w:val="24"/>
        </w:rPr>
        <w:t xml:space="preserve">: No more than 4 drinks per </w:t>
      </w:r>
      <w:r w:rsidRPr="005A52A3">
        <w:rPr>
          <w:bCs/>
          <w:i/>
          <w:sz w:val="24"/>
        </w:rPr>
        <w:t xml:space="preserve">and </w:t>
      </w:r>
      <w:r>
        <w:rPr>
          <w:bCs/>
          <w:sz w:val="24"/>
        </w:rPr>
        <w:t>no more than 14 per week</w:t>
      </w:r>
    </w:p>
    <w:p w:rsidR="005A52A3" w:rsidRDefault="00484FCC" w:rsidP="005A52A3">
      <w:pPr>
        <w:pStyle w:val="ListParagraph"/>
        <w:numPr>
          <w:ilvl w:val="1"/>
          <w:numId w:val="1"/>
        </w:numPr>
        <w:rPr>
          <w:bCs/>
          <w:sz w:val="24"/>
        </w:rPr>
      </w:pPr>
      <w:r>
        <w:rPr>
          <w:bCs/>
          <w:sz w:val="24"/>
        </w:rPr>
        <w:t>Females</w:t>
      </w:r>
      <w:r w:rsidR="005A52A3">
        <w:rPr>
          <w:bCs/>
          <w:sz w:val="24"/>
        </w:rPr>
        <w:t xml:space="preserve">: No more than 3 drinks per day </w:t>
      </w:r>
      <w:r w:rsidR="005A52A3" w:rsidRPr="005A52A3">
        <w:rPr>
          <w:bCs/>
          <w:i/>
          <w:sz w:val="24"/>
        </w:rPr>
        <w:t>and</w:t>
      </w:r>
      <w:r w:rsidR="005A52A3">
        <w:rPr>
          <w:bCs/>
          <w:sz w:val="24"/>
        </w:rPr>
        <w:t xml:space="preserve"> no more than 7 per week (NIAAA, 2015)</w:t>
      </w:r>
    </w:p>
    <w:p w:rsidR="005A52A3" w:rsidRDefault="005A52A3" w:rsidP="005A52A3">
      <w:pPr>
        <w:pStyle w:val="ListParagraph"/>
        <w:numPr>
          <w:ilvl w:val="0"/>
          <w:numId w:val="1"/>
        </w:numPr>
        <w:rPr>
          <w:bCs/>
          <w:sz w:val="24"/>
        </w:rPr>
      </w:pPr>
      <w:r>
        <w:rPr>
          <w:bCs/>
          <w:sz w:val="24"/>
        </w:rPr>
        <w:lastRenderedPageBreak/>
        <w:t>In addition to staying within the low-risk drinking guidelines outlined above, people who choose to drink can use the following risk reduction strategies to help them stay safe :</w:t>
      </w:r>
    </w:p>
    <w:p w:rsidR="005A52A3" w:rsidRDefault="00484FCC" w:rsidP="005A52A3">
      <w:pPr>
        <w:pStyle w:val="ListParagraph"/>
        <w:numPr>
          <w:ilvl w:val="1"/>
          <w:numId w:val="1"/>
        </w:numPr>
        <w:rPr>
          <w:bCs/>
          <w:sz w:val="24"/>
        </w:rPr>
      </w:pPr>
      <w:r>
        <w:rPr>
          <w:bCs/>
          <w:sz w:val="24"/>
        </w:rPr>
        <w:t>Use a designated sober driver</w:t>
      </w:r>
    </w:p>
    <w:p w:rsidR="00484FCC" w:rsidRDefault="00484FCC" w:rsidP="005A52A3">
      <w:pPr>
        <w:pStyle w:val="ListParagraph"/>
        <w:numPr>
          <w:ilvl w:val="1"/>
          <w:numId w:val="1"/>
        </w:numPr>
        <w:rPr>
          <w:bCs/>
          <w:sz w:val="24"/>
        </w:rPr>
      </w:pPr>
      <w:r>
        <w:rPr>
          <w:bCs/>
          <w:sz w:val="24"/>
        </w:rPr>
        <w:t>Pace drinks to one or fewer per hour</w:t>
      </w:r>
    </w:p>
    <w:p w:rsidR="00484FCC" w:rsidRDefault="00484FCC" w:rsidP="005A52A3">
      <w:pPr>
        <w:pStyle w:val="ListParagraph"/>
        <w:numPr>
          <w:ilvl w:val="1"/>
          <w:numId w:val="1"/>
        </w:numPr>
        <w:rPr>
          <w:bCs/>
          <w:sz w:val="24"/>
        </w:rPr>
      </w:pPr>
      <w:r>
        <w:rPr>
          <w:bCs/>
          <w:sz w:val="24"/>
        </w:rPr>
        <w:t>Eat before and during drinking</w:t>
      </w:r>
    </w:p>
    <w:p w:rsidR="00484FCC" w:rsidRDefault="00484FCC" w:rsidP="005A52A3">
      <w:pPr>
        <w:pStyle w:val="ListParagraph"/>
        <w:numPr>
          <w:ilvl w:val="1"/>
          <w:numId w:val="1"/>
        </w:numPr>
        <w:rPr>
          <w:bCs/>
          <w:sz w:val="24"/>
        </w:rPr>
      </w:pPr>
      <w:r>
        <w:rPr>
          <w:bCs/>
          <w:sz w:val="24"/>
        </w:rPr>
        <w:t>Alternate alcoholic and non-alcoholic beverages</w:t>
      </w:r>
    </w:p>
    <w:p w:rsidR="00484FCC" w:rsidRDefault="00484FCC" w:rsidP="005A52A3">
      <w:pPr>
        <w:pStyle w:val="ListParagraph"/>
        <w:numPr>
          <w:ilvl w:val="1"/>
          <w:numId w:val="1"/>
        </w:numPr>
        <w:rPr>
          <w:bCs/>
          <w:sz w:val="24"/>
        </w:rPr>
      </w:pPr>
      <w:r>
        <w:rPr>
          <w:bCs/>
          <w:sz w:val="24"/>
        </w:rPr>
        <w:t>Keep track of how much you consume by counting “standard drinks”</w:t>
      </w:r>
    </w:p>
    <w:p w:rsidR="00484FCC" w:rsidRDefault="00484FCC" w:rsidP="00484FCC">
      <w:pPr>
        <w:pStyle w:val="ListParagraph"/>
        <w:numPr>
          <w:ilvl w:val="1"/>
          <w:numId w:val="1"/>
        </w:numPr>
        <w:rPr>
          <w:bCs/>
          <w:sz w:val="24"/>
        </w:rPr>
      </w:pPr>
      <w:r>
        <w:rPr>
          <w:bCs/>
          <w:sz w:val="24"/>
        </w:rPr>
        <w:t>Don’t mix alcohol with other substances</w:t>
      </w:r>
    </w:p>
    <w:p w:rsidR="00484FCC" w:rsidRPr="00484FCC" w:rsidRDefault="00484FCC" w:rsidP="00484FCC">
      <w:pPr>
        <w:pStyle w:val="ListParagraph"/>
        <w:numPr>
          <w:ilvl w:val="1"/>
          <w:numId w:val="1"/>
        </w:numPr>
        <w:rPr>
          <w:bCs/>
          <w:sz w:val="24"/>
        </w:rPr>
      </w:pPr>
      <w:r>
        <w:rPr>
          <w:bCs/>
          <w:sz w:val="24"/>
        </w:rPr>
        <w:t>Never leave your drink unattended</w:t>
      </w:r>
    </w:p>
    <w:p w:rsidR="002C38C5" w:rsidRDefault="00034DAA" w:rsidP="00034DAA">
      <w:pPr>
        <w:pStyle w:val="ListParagraph"/>
        <w:numPr>
          <w:ilvl w:val="0"/>
          <w:numId w:val="1"/>
        </w:numPr>
        <w:rPr>
          <w:bCs/>
          <w:sz w:val="24"/>
        </w:rPr>
      </w:pPr>
      <w:r>
        <w:rPr>
          <w:bCs/>
          <w:sz w:val="24"/>
        </w:rPr>
        <w:t>High-risk drinking by college students is a significant public health problem. Each year there are estimated to be thousands of incidents of alcohol-related physical and sexual assaults and deaths among college students</w:t>
      </w:r>
      <w:r w:rsidR="00015616">
        <w:rPr>
          <w:bCs/>
          <w:sz w:val="24"/>
        </w:rPr>
        <w:t xml:space="preserve"> </w:t>
      </w:r>
      <w:r w:rsidR="004E542D">
        <w:rPr>
          <w:bCs/>
          <w:sz w:val="24"/>
        </w:rPr>
        <w:t>(</w:t>
      </w:r>
      <w:r w:rsidR="004B757A">
        <w:rPr>
          <w:bCs/>
          <w:sz w:val="24"/>
        </w:rPr>
        <w:t>NIAAA,</w:t>
      </w:r>
      <w:r w:rsidR="004E542D">
        <w:rPr>
          <w:bCs/>
          <w:sz w:val="24"/>
        </w:rPr>
        <w:t xml:space="preserve"> 2015</w:t>
      </w:r>
      <w:r w:rsidR="00A876BB">
        <w:rPr>
          <w:bCs/>
          <w:sz w:val="24"/>
        </w:rPr>
        <w:t>)</w:t>
      </w:r>
      <w:r>
        <w:rPr>
          <w:bCs/>
          <w:sz w:val="24"/>
        </w:rPr>
        <w:t xml:space="preserve">. </w:t>
      </w:r>
    </w:p>
    <w:p w:rsidR="004B757A" w:rsidRPr="004B757A" w:rsidRDefault="00A876BB" w:rsidP="00444B77">
      <w:pPr>
        <w:pStyle w:val="ListParagraph"/>
        <w:numPr>
          <w:ilvl w:val="0"/>
          <w:numId w:val="1"/>
        </w:numPr>
        <w:rPr>
          <w:bCs/>
          <w:sz w:val="24"/>
          <w:u w:val="single"/>
        </w:rPr>
      </w:pPr>
      <w:r w:rsidRPr="00444B77">
        <w:rPr>
          <w:bCs/>
          <w:sz w:val="24"/>
        </w:rPr>
        <w:t>Students who binge drink frequently are more likely than non-binge drinkers to: miss class, fall behind in school, receive lower grades, engage in unplanned sexual activity and fail to use protection against pregnancy or STIs, get in trouble with campus police, and drive after drinking</w:t>
      </w:r>
      <w:r w:rsidR="004B757A">
        <w:rPr>
          <w:bCs/>
          <w:sz w:val="24"/>
        </w:rPr>
        <w:t xml:space="preserve"> (NIAAA, 2015)</w:t>
      </w:r>
      <w:r w:rsidR="00444B77">
        <w:rPr>
          <w:bCs/>
          <w:sz w:val="24"/>
        </w:rPr>
        <w:t xml:space="preserve">. </w:t>
      </w:r>
    </w:p>
    <w:p w:rsidR="002C38C5" w:rsidRPr="00B428D7" w:rsidRDefault="00A876BB" w:rsidP="00444B77">
      <w:pPr>
        <w:pStyle w:val="ListParagraph"/>
        <w:numPr>
          <w:ilvl w:val="0"/>
          <w:numId w:val="1"/>
        </w:numPr>
        <w:rPr>
          <w:bCs/>
          <w:sz w:val="24"/>
          <w:u w:val="single"/>
        </w:rPr>
      </w:pPr>
      <w:r w:rsidRPr="00444B77">
        <w:rPr>
          <w:bCs/>
          <w:sz w:val="24"/>
        </w:rPr>
        <w:t>In the long-term, bi</w:t>
      </w:r>
      <w:r w:rsidR="00444B77" w:rsidRPr="00444B77">
        <w:rPr>
          <w:bCs/>
          <w:sz w:val="24"/>
        </w:rPr>
        <w:t xml:space="preserve">nge drinking </w:t>
      </w:r>
      <w:r w:rsidR="00444B77">
        <w:rPr>
          <w:bCs/>
          <w:sz w:val="24"/>
        </w:rPr>
        <w:t>can lead to</w:t>
      </w:r>
      <w:r w:rsidR="00444B77" w:rsidRPr="00444B77">
        <w:rPr>
          <w:bCs/>
          <w:sz w:val="24"/>
        </w:rPr>
        <w:t>: liver damage, hear</w:t>
      </w:r>
      <w:r w:rsidR="00444B77">
        <w:rPr>
          <w:bCs/>
          <w:sz w:val="24"/>
        </w:rPr>
        <w:t xml:space="preserve">t disease, cancer, pancreatitis, structural and functional brain changes resulting in changes in mood and behavior, impaired cognition and coordination </w:t>
      </w:r>
      <w:r w:rsidR="00444B77" w:rsidRPr="00444B77">
        <w:rPr>
          <w:bCs/>
          <w:sz w:val="24"/>
        </w:rPr>
        <w:t>(NIAAA, 2015).</w:t>
      </w:r>
    </w:p>
    <w:p w:rsidR="00B428D7" w:rsidRPr="00B428D7" w:rsidRDefault="00B428D7" w:rsidP="00444B77">
      <w:pPr>
        <w:pStyle w:val="ListParagraph"/>
        <w:numPr>
          <w:ilvl w:val="0"/>
          <w:numId w:val="1"/>
        </w:numPr>
        <w:rPr>
          <w:bCs/>
          <w:sz w:val="24"/>
          <w:u w:val="single"/>
        </w:rPr>
      </w:pPr>
      <w:r>
        <w:rPr>
          <w:bCs/>
          <w:sz w:val="24"/>
        </w:rPr>
        <w:t>Binge drinking can also have “secondhand effects” on others, including:</w:t>
      </w:r>
    </w:p>
    <w:p w:rsidR="00B428D7" w:rsidRPr="00B428D7" w:rsidRDefault="00B428D7" w:rsidP="00B428D7">
      <w:pPr>
        <w:pStyle w:val="ListParagraph"/>
        <w:numPr>
          <w:ilvl w:val="1"/>
          <w:numId w:val="1"/>
        </w:numPr>
        <w:rPr>
          <w:bCs/>
          <w:sz w:val="24"/>
          <w:u w:val="single"/>
        </w:rPr>
      </w:pPr>
      <w:r>
        <w:rPr>
          <w:bCs/>
          <w:sz w:val="24"/>
        </w:rPr>
        <w:t>Interruptions to study or sleep</w:t>
      </w:r>
    </w:p>
    <w:p w:rsidR="00B428D7" w:rsidRPr="00B428D7" w:rsidRDefault="00B428D7" w:rsidP="00B428D7">
      <w:pPr>
        <w:pStyle w:val="ListParagraph"/>
        <w:numPr>
          <w:ilvl w:val="1"/>
          <w:numId w:val="1"/>
        </w:numPr>
        <w:rPr>
          <w:bCs/>
          <w:sz w:val="24"/>
          <w:u w:val="single"/>
        </w:rPr>
      </w:pPr>
      <w:r>
        <w:rPr>
          <w:bCs/>
          <w:sz w:val="24"/>
        </w:rPr>
        <w:t>Being insulted or humiliated</w:t>
      </w:r>
    </w:p>
    <w:p w:rsidR="00B428D7" w:rsidRPr="00B428D7" w:rsidRDefault="00B428D7" w:rsidP="00B428D7">
      <w:pPr>
        <w:pStyle w:val="ListParagraph"/>
        <w:numPr>
          <w:ilvl w:val="1"/>
          <w:numId w:val="1"/>
        </w:numPr>
        <w:rPr>
          <w:bCs/>
          <w:sz w:val="24"/>
          <w:u w:val="single"/>
        </w:rPr>
      </w:pPr>
      <w:r>
        <w:rPr>
          <w:bCs/>
          <w:sz w:val="24"/>
        </w:rPr>
        <w:t>Having a serious argument</w:t>
      </w:r>
    </w:p>
    <w:p w:rsidR="00B428D7" w:rsidRPr="00B428D7" w:rsidRDefault="00B428D7" w:rsidP="00B428D7">
      <w:pPr>
        <w:pStyle w:val="ListParagraph"/>
        <w:numPr>
          <w:ilvl w:val="1"/>
          <w:numId w:val="1"/>
        </w:numPr>
        <w:rPr>
          <w:bCs/>
          <w:sz w:val="24"/>
          <w:u w:val="single"/>
        </w:rPr>
      </w:pPr>
      <w:r>
        <w:rPr>
          <w:bCs/>
          <w:sz w:val="24"/>
        </w:rPr>
        <w:t>Being physically or sexually assaulted</w:t>
      </w:r>
    </w:p>
    <w:p w:rsidR="00B428D7" w:rsidRPr="00B428D7" w:rsidRDefault="00B428D7" w:rsidP="00B428D7">
      <w:pPr>
        <w:pStyle w:val="ListParagraph"/>
        <w:numPr>
          <w:ilvl w:val="1"/>
          <w:numId w:val="1"/>
        </w:numPr>
        <w:rPr>
          <w:bCs/>
          <w:sz w:val="24"/>
          <w:u w:val="single"/>
        </w:rPr>
      </w:pPr>
      <w:r>
        <w:rPr>
          <w:bCs/>
          <w:sz w:val="24"/>
        </w:rPr>
        <w:t>Receiving unwanted sexual advances</w:t>
      </w:r>
    </w:p>
    <w:p w:rsidR="00B428D7" w:rsidRPr="00B428D7" w:rsidRDefault="00B428D7" w:rsidP="00B428D7">
      <w:pPr>
        <w:pStyle w:val="ListParagraph"/>
        <w:numPr>
          <w:ilvl w:val="1"/>
          <w:numId w:val="1"/>
        </w:numPr>
        <w:rPr>
          <w:bCs/>
          <w:sz w:val="24"/>
          <w:u w:val="single"/>
        </w:rPr>
      </w:pPr>
      <w:r>
        <w:rPr>
          <w:bCs/>
          <w:sz w:val="24"/>
        </w:rPr>
        <w:t>Experiencing personal property damage</w:t>
      </w:r>
    </w:p>
    <w:p w:rsidR="00D6274C" w:rsidRPr="00D6274C" w:rsidRDefault="00B428D7" w:rsidP="00B428D7">
      <w:pPr>
        <w:pStyle w:val="ListParagraph"/>
        <w:numPr>
          <w:ilvl w:val="0"/>
          <w:numId w:val="1"/>
        </w:numPr>
        <w:rPr>
          <w:bCs/>
          <w:sz w:val="24"/>
          <w:u w:val="single"/>
        </w:rPr>
      </w:pPr>
      <w:r>
        <w:rPr>
          <w:bCs/>
          <w:sz w:val="24"/>
        </w:rPr>
        <w:t xml:space="preserve">Alcohol poisoning is a potential medical emergency and should be treated as such. It is important to be able to recognize the signs of alcohol poisoning and </w:t>
      </w:r>
      <w:r w:rsidR="00D6274C">
        <w:rPr>
          <w:bCs/>
          <w:sz w:val="24"/>
        </w:rPr>
        <w:t>know what steps to take to help</w:t>
      </w:r>
      <w:r>
        <w:rPr>
          <w:bCs/>
          <w:sz w:val="24"/>
        </w:rPr>
        <w:t>. Signs of alcohol poisoning can be remembered using the CUPS acronym</w:t>
      </w:r>
      <w:r w:rsidR="00D6274C">
        <w:rPr>
          <w:bCs/>
          <w:sz w:val="24"/>
        </w:rPr>
        <w:t>:</w:t>
      </w:r>
    </w:p>
    <w:p w:rsidR="00D6274C" w:rsidRPr="00D6274C" w:rsidRDefault="00D6274C" w:rsidP="00D6274C">
      <w:pPr>
        <w:pStyle w:val="ListParagraph"/>
        <w:numPr>
          <w:ilvl w:val="1"/>
          <w:numId w:val="1"/>
        </w:numPr>
        <w:rPr>
          <w:bCs/>
          <w:sz w:val="24"/>
          <w:u w:val="single"/>
        </w:rPr>
      </w:pPr>
      <w:r w:rsidRPr="00B428D7">
        <w:rPr>
          <w:b/>
          <w:bCs/>
          <w:sz w:val="24"/>
        </w:rPr>
        <w:t>C</w:t>
      </w:r>
      <w:r w:rsidR="00B428D7" w:rsidRPr="00B428D7">
        <w:rPr>
          <w:bCs/>
          <w:sz w:val="24"/>
        </w:rPr>
        <w:t>old skin</w:t>
      </w:r>
    </w:p>
    <w:p w:rsidR="00D6274C" w:rsidRPr="00D6274C" w:rsidRDefault="00D6274C" w:rsidP="00D6274C">
      <w:pPr>
        <w:pStyle w:val="ListParagraph"/>
        <w:numPr>
          <w:ilvl w:val="1"/>
          <w:numId w:val="1"/>
        </w:numPr>
        <w:rPr>
          <w:bCs/>
          <w:sz w:val="24"/>
          <w:u w:val="single"/>
        </w:rPr>
      </w:pPr>
      <w:r w:rsidRPr="00B428D7">
        <w:rPr>
          <w:b/>
          <w:bCs/>
          <w:sz w:val="24"/>
        </w:rPr>
        <w:t>U</w:t>
      </w:r>
      <w:r w:rsidR="00B428D7" w:rsidRPr="00B428D7">
        <w:rPr>
          <w:bCs/>
          <w:sz w:val="24"/>
        </w:rPr>
        <w:t>nresponsive</w:t>
      </w:r>
    </w:p>
    <w:p w:rsidR="00D6274C" w:rsidRPr="00D6274C" w:rsidRDefault="00D6274C" w:rsidP="00D6274C">
      <w:pPr>
        <w:pStyle w:val="ListParagraph"/>
        <w:numPr>
          <w:ilvl w:val="1"/>
          <w:numId w:val="1"/>
        </w:numPr>
        <w:rPr>
          <w:bCs/>
          <w:sz w:val="24"/>
          <w:u w:val="single"/>
        </w:rPr>
      </w:pPr>
      <w:r w:rsidRPr="00B428D7">
        <w:rPr>
          <w:b/>
          <w:bCs/>
          <w:sz w:val="24"/>
        </w:rPr>
        <w:t>P</w:t>
      </w:r>
      <w:r w:rsidR="00B428D7" w:rsidRPr="00B428D7">
        <w:rPr>
          <w:bCs/>
          <w:sz w:val="24"/>
        </w:rPr>
        <w:t>uking</w:t>
      </w:r>
    </w:p>
    <w:p w:rsidR="00B428D7" w:rsidRPr="00D6274C" w:rsidRDefault="00D6274C" w:rsidP="00D6274C">
      <w:pPr>
        <w:pStyle w:val="ListParagraph"/>
        <w:numPr>
          <w:ilvl w:val="1"/>
          <w:numId w:val="1"/>
        </w:numPr>
        <w:rPr>
          <w:bCs/>
          <w:sz w:val="24"/>
          <w:u w:val="single"/>
        </w:rPr>
      </w:pPr>
      <w:r w:rsidRPr="00B428D7">
        <w:rPr>
          <w:b/>
          <w:bCs/>
          <w:sz w:val="24"/>
        </w:rPr>
        <w:t>S</w:t>
      </w:r>
      <w:r w:rsidR="00B428D7" w:rsidRPr="00B428D7">
        <w:rPr>
          <w:bCs/>
          <w:sz w:val="24"/>
        </w:rPr>
        <w:t>low breathing</w:t>
      </w:r>
    </w:p>
    <w:p w:rsidR="00D6274C" w:rsidRDefault="00D6274C" w:rsidP="00D6274C">
      <w:pPr>
        <w:rPr>
          <w:bCs/>
          <w:sz w:val="24"/>
        </w:rPr>
      </w:pPr>
      <w:r>
        <w:rPr>
          <w:bCs/>
          <w:sz w:val="24"/>
        </w:rPr>
        <w:t xml:space="preserve">       If you notice any of these symptoms, don’t hesitate to take action and get help:</w:t>
      </w:r>
    </w:p>
    <w:p w:rsidR="00D6274C" w:rsidRDefault="00D6274C" w:rsidP="00D6274C">
      <w:pPr>
        <w:pStyle w:val="ListParagraph"/>
        <w:numPr>
          <w:ilvl w:val="0"/>
          <w:numId w:val="3"/>
        </w:numPr>
        <w:ind w:left="1080"/>
        <w:rPr>
          <w:bCs/>
          <w:sz w:val="24"/>
        </w:rPr>
      </w:pPr>
      <w:r>
        <w:rPr>
          <w:bCs/>
          <w:sz w:val="24"/>
        </w:rPr>
        <w:t>Turn the person on their side</w:t>
      </w:r>
    </w:p>
    <w:p w:rsidR="00D6274C" w:rsidRDefault="00D6274C" w:rsidP="00D6274C">
      <w:pPr>
        <w:pStyle w:val="ListParagraph"/>
        <w:numPr>
          <w:ilvl w:val="0"/>
          <w:numId w:val="3"/>
        </w:numPr>
        <w:ind w:left="1080"/>
        <w:rPr>
          <w:bCs/>
          <w:sz w:val="24"/>
        </w:rPr>
      </w:pPr>
      <w:r>
        <w:rPr>
          <w:bCs/>
          <w:sz w:val="24"/>
        </w:rPr>
        <w:t>Do not leave them alone</w:t>
      </w:r>
    </w:p>
    <w:p w:rsidR="004B757A" w:rsidRPr="004B757A" w:rsidRDefault="00D6274C" w:rsidP="004B757A">
      <w:pPr>
        <w:pStyle w:val="ListParagraph"/>
        <w:numPr>
          <w:ilvl w:val="0"/>
          <w:numId w:val="3"/>
        </w:numPr>
        <w:ind w:left="1080"/>
        <w:rPr>
          <w:bCs/>
          <w:sz w:val="24"/>
        </w:rPr>
      </w:pPr>
      <w:r>
        <w:rPr>
          <w:bCs/>
          <w:sz w:val="24"/>
        </w:rPr>
        <w:t>Call 911</w:t>
      </w:r>
    </w:p>
    <w:p w:rsidR="00B428D7" w:rsidRPr="00B428D7" w:rsidRDefault="00B428D7" w:rsidP="00B428D7">
      <w:pPr>
        <w:ind w:left="720"/>
        <w:rPr>
          <w:bCs/>
          <w:sz w:val="24"/>
          <w:u w:val="single"/>
        </w:rPr>
      </w:pPr>
    </w:p>
    <w:p w:rsidR="002C38C5" w:rsidRDefault="002C38C5" w:rsidP="002C38C5">
      <w:pPr>
        <w:rPr>
          <w:bCs/>
          <w:sz w:val="24"/>
        </w:rPr>
      </w:pPr>
      <w:r w:rsidRPr="00E349B3">
        <w:rPr>
          <w:bCs/>
          <w:sz w:val="24"/>
          <w:u w:val="single"/>
        </w:rPr>
        <w:t>Putting it Into Practice:</w:t>
      </w:r>
      <w:r w:rsidRPr="00E349B3">
        <w:rPr>
          <w:bCs/>
          <w:sz w:val="24"/>
        </w:rPr>
        <w:t xml:space="preserve">  </w:t>
      </w:r>
    </w:p>
    <w:p w:rsidR="004B757A" w:rsidRPr="00CE0671" w:rsidRDefault="004B757A" w:rsidP="00CE0671">
      <w:pPr>
        <w:pStyle w:val="ListParagraph"/>
        <w:numPr>
          <w:ilvl w:val="0"/>
          <w:numId w:val="4"/>
        </w:numPr>
        <w:rPr>
          <w:bCs/>
          <w:sz w:val="24"/>
        </w:rPr>
      </w:pPr>
      <w:r>
        <w:rPr>
          <w:bCs/>
          <w:sz w:val="24"/>
        </w:rPr>
        <w:t xml:space="preserve">Create </w:t>
      </w:r>
      <w:r w:rsidR="00CE0671">
        <w:rPr>
          <w:bCs/>
          <w:sz w:val="24"/>
        </w:rPr>
        <w:t xml:space="preserve">your own version of our “20 Fun Things to do Without Alcohol or Drugs” handout on a bulletin board. Put together a list of fun, free, and substance-free things to do on campus and around town. You could even plan to do some (or all!) of the activities on your list with the residents in your hall.  </w:t>
      </w:r>
    </w:p>
    <w:p w:rsidR="002C38C5" w:rsidRDefault="002C38C5" w:rsidP="002C38C5">
      <w:pPr>
        <w:rPr>
          <w:bCs/>
          <w:sz w:val="24"/>
        </w:rPr>
      </w:pPr>
    </w:p>
    <w:p w:rsidR="002C38C5" w:rsidRPr="00E349B3" w:rsidRDefault="002C38C5" w:rsidP="002C38C5">
      <w:pPr>
        <w:rPr>
          <w:bCs/>
          <w:sz w:val="24"/>
          <w:u w:val="single"/>
        </w:rPr>
      </w:pPr>
      <w:r w:rsidRPr="00E349B3">
        <w:rPr>
          <w:bCs/>
          <w:sz w:val="24"/>
          <w:u w:val="single"/>
        </w:rPr>
        <w:t xml:space="preserve">Reliable Sources:  </w:t>
      </w:r>
    </w:p>
    <w:p w:rsidR="0061163A" w:rsidRDefault="00034DAA" w:rsidP="00034DAA">
      <w:pPr>
        <w:pStyle w:val="ListParagraph"/>
        <w:numPr>
          <w:ilvl w:val="0"/>
          <w:numId w:val="2"/>
        </w:numPr>
      </w:pPr>
      <w:r>
        <w:t xml:space="preserve">National </w:t>
      </w:r>
      <w:r w:rsidR="00096FEB">
        <w:t>Institute</w:t>
      </w:r>
      <w:r>
        <w:t xml:space="preserve"> on Alcohol Abuse and Alcoholism – College Drinking Factsheet: </w:t>
      </w:r>
      <w:hyperlink r:id="rId5" w:history="1">
        <w:r>
          <w:rPr>
            <w:rStyle w:val="Hyperlink"/>
          </w:rPr>
          <w:t>https://www.collegedrinkingprevention.gov/media/collegedrinkingFactSheet.pdf</w:t>
        </w:r>
      </w:hyperlink>
    </w:p>
    <w:p w:rsidR="00034DAA" w:rsidRPr="00015616" w:rsidRDefault="00096FEB" w:rsidP="00034DAA">
      <w:pPr>
        <w:pStyle w:val="ListParagraph"/>
        <w:numPr>
          <w:ilvl w:val="0"/>
          <w:numId w:val="2"/>
        </w:numPr>
        <w:rPr>
          <w:rStyle w:val="Hyperlink"/>
          <w:color w:val="auto"/>
          <w:u w:val="none"/>
        </w:rPr>
      </w:pPr>
      <w:r>
        <w:t xml:space="preserve">National Institute on Drug Abuse for Teens – Alcohol: </w:t>
      </w:r>
      <w:hyperlink r:id="rId6" w:history="1">
        <w:r>
          <w:rPr>
            <w:rStyle w:val="Hyperlink"/>
          </w:rPr>
          <w:t>https://teens.drugabuse.gov/drug-facts/alcohol</w:t>
        </w:r>
      </w:hyperlink>
    </w:p>
    <w:p w:rsidR="00015616" w:rsidRDefault="00227819" w:rsidP="00034DAA">
      <w:pPr>
        <w:pStyle w:val="ListParagraph"/>
        <w:numPr>
          <w:ilvl w:val="0"/>
          <w:numId w:val="2"/>
        </w:numPr>
      </w:pPr>
      <w:r>
        <w:t xml:space="preserve">National Institute on Alcohol Abuse and Alcoholism – Alcohol and You: An Interactive Body: </w:t>
      </w:r>
      <w:hyperlink r:id="rId7" w:history="1">
        <w:r w:rsidR="00015616">
          <w:rPr>
            <w:rStyle w:val="Hyperlink"/>
          </w:rPr>
          <w:t>https://www.collegedrinkingprevention.gov/SpecialFeatures/interactiveBody.aspx</w:t>
        </w:r>
      </w:hyperlink>
    </w:p>
    <w:p w:rsidR="00E8766E" w:rsidRDefault="00E8766E" w:rsidP="00034DAA">
      <w:pPr>
        <w:pStyle w:val="ListParagraph"/>
        <w:numPr>
          <w:ilvl w:val="0"/>
          <w:numId w:val="2"/>
        </w:numPr>
      </w:pPr>
      <w:r>
        <w:lastRenderedPageBreak/>
        <w:t xml:space="preserve">Centers for Disease Control and Prevention – Binge Drinking Factsheet: </w:t>
      </w:r>
      <w:hyperlink r:id="rId8" w:history="1">
        <w:r>
          <w:rPr>
            <w:rStyle w:val="Hyperlink"/>
          </w:rPr>
          <w:t>https://www.cdc.gov/alcohol/fact-sheets/binge-drinking.htm</w:t>
        </w:r>
      </w:hyperlink>
    </w:p>
    <w:p w:rsidR="00E8766E" w:rsidRDefault="00E8766E" w:rsidP="00E8766E"/>
    <w:sectPr w:rsidR="00E8766E" w:rsidSect="00510E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E6FF9"/>
    <w:multiLevelType w:val="hybridMultilevel"/>
    <w:tmpl w:val="F710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56B90"/>
    <w:multiLevelType w:val="hybridMultilevel"/>
    <w:tmpl w:val="6F404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006124"/>
    <w:multiLevelType w:val="hybridMultilevel"/>
    <w:tmpl w:val="82987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8B287E"/>
    <w:multiLevelType w:val="hybridMultilevel"/>
    <w:tmpl w:val="CFAA66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8C5"/>
    <w:rsid w:val="00015616"/>
    <w:rsid w:val="00034DAA"/>
    <w:rsid w:val="00096FEB"/>
    <w:rsid w:val="00227819"/>
    <w:rsid w:val="002944F1"/>
    <w:rsid w:val="002C38C5"/>
    <w:rsid w:val="003278E0"/>
    <w:rsid w:val="003757F2"/>
    <w:rsid w:val="00387BA1"/>
    <w:rsid w:val="00444B77"/>
    <w:rsid w:val="00484FCC"/>
    <w:rsid w:val="00490326"/>
    <w:rsid w:val="004B757A"/>
    <w:rsid w:val="004E542D"/>
    <w:rsid w:val="00510E20"/>
    <w:rsid w:val="005A52A3"/>
    <w:rsid w:val="0061163A"/>
    <w:rsid w:val="00663D82"/>
    <w:rsid w:val="006D053F"/>
    <w:rsid w:val="008175F4"/>
    <w:rsid w:val="00860579"/>
    <w:rsid w:val="008B687F"/>
    <w:rsid w:val="008B7AC7"/>
    <w:rsid w:val="009935FA"/>
    <w:rsid w:val="00A57025"/>
    <w:rsid w:val="00A876BB"/>
    <w:rsid w:val="00B428D7"/>
    <w:rsid w:val="00B536E6"/>
    <w:rsid w:val="00BA390C"/>
    <w:rsid w:val="00C0608F"/>
    <w:rsid w:val="00C6284B"/>
    <w:rsid w:val="00CC0EF3"/>
    <w:rsid w:val="00CE0671"/>
    <w:rsid w:val="00D6274C"/>
    <w:rsid w:val="00DE1B7C"/>
    <w:rsid w:val="00E8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9AEB"/>
  <w15:chartTrackingRefBased/>
  <w15:docId w15:val="{300C62C8-A0DC-4EBD-BB57-DA5D8CDE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4B"/>
    <w:pPr>
      <w:ind w:left="720"/>
      <w:contextualSpacing/>
    </w:pPr>
  </w:style>
  <w:style w:type="table" w:styleId="TableGrid">
    <w:name w:val="Table Grid"/>
    <w:basedOn w:val="TableNormal"/>
    <w:uiPriority w:val="39"/>
    <w:rsid w:val="00BA3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4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alcohol/fact-sheets/binge-drinking.htm" TargetMode="External"/><Relationship Id="rId3" Type="http://schemas.openxmlformats.org/officeDocument/2006/relationships/settings" Target="settings.xml"/><Relationship Id="rId7" Type="http://schemas.openxmlformats.org/officeDocument/2006/relationships/hyperlink" Target="https://www.collegedrinkingprevention.gov/SpecialFeatures/interactiveBod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ens.drugabuse.gov/drug-facts/alcohol" TargetMode="External"/><Relationship Id="rId5" Type="http://schemas.openxmlformats.org/officeDocument/2006/relationships/hyperlink" Target="https://www.collegedrinkingprevention.gov/media/collegedrinkingFactShee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Blaire Meline</dc:creator>
  <cp:keywords/>
  <dc:description/>
  <cp:lastModifiedBy>Nikki Meline</cp:lastModifiedBy>
  <cp:revision>3</cp:revision>
  <dcterms:created xsi:type="dcterms:W3CDTF">2020-07-28T16:58:00Z</dcterms:created>
  <dcterms:modified xsi:type="dcterms:W3CDTF">2020-07-28T16:59:00Z</dcterms:modified>
</cp:coreProperties>
</file>