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8BDF90" w14:textId="77777777" w:rsidR="00DD0898" w:rsidRDefault="00DD0898">
      <w:pPr>
        <w:rPr>
          <w:sz w:val="16"/>
          <w:szCs w:val="16"/>
        </w:rPr>
      </w:pPr>
      <w:bookmarkStart w:id="0" w:name="_GoBack"/>
      <w:bookmarkEnd w:id="0"/>
    </w:p>
    <w:p w14:paraId="410C8D06" w14:textId="77777777" w:rsidR="00DD0898" w:rsidRDefault="007E3F6F">
      <w:pPr>
        <w:jc w:val="center"/>
      </w:pPr>
      <w:r>
        <w:rPr>
          <w:sz w:val="36"/>
          <w:szCs w:val="36"/>
        </w:rPr>
        <w:t>2019 Faculty Pay Equity Report</w:t>
      </w:r>
    </w:p>
    <w:p w14:paraId="198B06CF" w14:textId="77777777" w:rsidR="00DD0898" w:rsidRDefault="00DD0898"/>
    <w:p w14:paraId="44A652B6" w14:textId="77777777" w:rsidR="00F84A90" w:rsidRDefault="00F84A90">
      <w:pPr>
        <w:jc w:val="both"/>
      </w:pPr>
    </w:p>
    <w:p w14:paraId="6ED964D4" w14:textId="77777777" w:rsidR="008343B1" w:rsidRDefault="008343B1">
      <w:pPr>
        <w:jc w:val="both"/>
      </w:pPr>
      <w:r>
        <w:t>This</w:t>
      </w:r>
      <w:r w:rsidR="007E3F6F">
        <w:t xml:space="preserve"> report examines </w:t>
      </w:r>
      <w:r>
        <w:t>faculty wages in order to investigate pay equity across the university.  O</w:t>
      </w:r>
      <w:r w:rsidR="007E3F6F">
        <w:t xml:space="preserve">fficial data </w:t>
      </w:r>
      <w:r>
        <w:t xml:space="preserve">was </w:t>
      </w:r>
      <w:r w:rsidR="007E3F6F">
        <w:t xml:space="preserve">made available through Northern Arizona University’s Institutional and Research Analysis (IRA) pages and the Integrated Postsecondary Education Data System (IPEDS) website. The second section contains data generated based on the “University Salary Appendix” in the FY 19 NAU Budget. </w:t>
      </w:r>
      <w:r>
        <w:t xml:space="preserve"> </w:t>
      </w:r>
    </w:p>
    <w:p w14:paraId="423175A4" w14:textId="77777777" w:rsidR="008343B1" w:rsidRDefault="008343B1">
      <w:pPr>
        <w:jc w:val="both"/>
      </w:pPr>
    </w:p>
    <w:p w14:paraId="7F92C215" w14:textId="5530D336" w:rsidR="00DD0898" w:rsidRDefault="008343B1">
      <w:pPr>
        <w:jc w:val="both"/>
      </w:pPr>
      <w:r>
        <w:t xml:space="preserve">See the Appendix </w:t>
      </w:r>
      <w:r w:rsidR="00885446">
        <w:t xml:space="preserve">for a narrative on </w:t>
      </w:r>
      <w:r>
        <w:t>the challenges of accessing</w:t>
      </w:r>
      <w:r w:rsidR="00885446">
        <w:t xml:space="preserve"> relevant wage-related data</w:t>
      </w:r>
      <w:r>
        <w:t>.</w:t>
      </w:r>
    </w:p>
    <w:p w14:paraId="3C2C8921" w14:textId="77777777" w:rsidR="00DD0898" w:rsidRDefault="00DD0898"/>
    <w:p w14:paraId="1395873D" w14:textId="77777777" w:rsidR="00DD0898" w:rsidRDefault="00DD0898"/>
    <w:p w14:paraId="6A71F73D" w14:textId="6D3748A9" w:rsidR="00DD0898" w:rsidRDefault="00885446">
      <w:pPr>
        <w:rPr>
          <w:b/>
        </w:rPr>
      </w:pPr>
      <w:r>
        <w:rPr>
          <w:b/>
        </w:rPr>
        <w:t>FINDINGS: AVAILABLE INFORMATION</w:t>
      </w:r>
    </w:p>
    <w:p w14:paraId="3126D553" w14:textId="77777777" w:rsidR="00DD0898" w:rsidRDefault="00C425DC">
      <w:r>
        <w:pict w14:anchorId="0BFB614F">
          <v:rect id="_x0000_i1025" style="width:0;height:1.5pt" o:hralign="center" o:hrstd="t" o:hr="t" fillcolor="#a0a0a0" stroked="f"/>
        </w:pict>
      </w:r>
    </w:p>
    <w:p w14:paraId="39D295CA" w14:textId="77777777" w:rsidR="00DD0898" w:rsidRDefault="007E3F6F">
      <w:r>
        <w:t xml:space="preserve">Several NAU-generated reports yield important preliminary insights about pay equity. For example, according to NAU’s IRA website, </w:t>
      </w:r>
      <w:r>
        <w:rPr>
          <w:b/>
        </w:rPr>
        <w:t>as of Fall 2018, the average salary for female faculty at NAU is $11,309 less than the average salary for male faculty</w:t>
      </w:r>
      <w:r>
        <w:t>.</w:t>
      </w:r>
      <w:r>
        <w:rPr>
          <w:vertAlign w:val="superscript"/>
        </w:rPr>
        <w:footnoteReference w:id="1"/>
      </w:r>
      <w:r>
        <w:t xml:space="preserve"> </w:t>
      </w:r>
    </w:p>
    <w:p w14:paraId="04BB21E9" w14:textId="77777777" w:rsidR="00A03817" w:rsidRDefault="00A03817"/>
    <w:p w14:paraId="5EC9288B" w14:textId="77777777" w:rsidR="00DD0898" w:rsidRDefault="00DD0898">
      <w:pPr>
        <w:rPr>
          <w:sz w:val="12"/>
          <w:szCs w:val="12"/>
        </w:rPr>
      </w:pPr>
    </w:p>
    <w:p w14:paraId="6625453E" w14:textId="77777777" w:rsidR="00DD0898" w:rsidRDefault="007E3F6F">
      <w:pPr>
        <w:jc w:val="center"/>
        <w:rPr>
          <w:sz w:val="12"/>
          <w:szCs w:val="12"/>
        </w:rPr>
      </w:pPr>
      <w:r>
        <w:rPr>
          <w:noProof/>
          <w:lang w:val="en-US"/>
        </w:rPr>
        <w:drawing>
          <wp:inline distT="114300" distB="114300" distL="114300" distR="114300" wp14:anchorId="45D0CAFF" wp14:editId="7608746C">
            <wp:extent cx="6510338" cy="2414250"/>
            <wp:effectExtent l="25400" t="25400" r="25400" b="25400"/>
            <wp:docPr id="2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
                    <a:srcRect/>
                    <a:stretch>
                      <a:fillRect/>
                    </a:stretch>
                  </pic:blipFill>
                  <pic:spPr>
                    <a:xfrm>
                      <a:off x="0" y="0"/>
                      <a:ext cx="6510338" cy="2414250"/>
                    </a:xfrm>
                    <a:prstGeom prst="rect">
                      <a:avLst/>
                    </a:prstGeom>
                    <a:ln w="25400">
                      <a:solidFill>
                        <a:srgbClr val="000000"/>
                      </a:solidFill>
                      <a:prstDash val="solid"/>
                    </a:ln>
                  </pic:spPr>
                </pic:pic>
              </a:graphicData>
            </a:graphic>
          </wp:inline>
        </w:drawing>
      </w:r>
    </w:p>
    <w:p w14:paraId="090A2912" w14:textId="77777777" w:rsidR="00A03817" w:rsidRDefault="00A03817">
      <w:pPr>
        <w:jc w:val="both"/>
      </w:pPr>
    </w:p>
    <w:p w14:paraId="3EDE592E" w14:textId="5FCDF8C8" w:rsidR="00DD0898" w:rsidRDefault="00A03817">
      <w:pPr>
        <w:jc w:val="both"/>
      </w:pPr>
      <w:r>
        <w:t>This chart also illustrates</w:t>
      </w:r>
      <w:r w:rsidR="007E3F6F">
        <w:t xml:space="preserve"> that </w:t>
      </w:r>
      <w:r w:rsidR="007E3F6F">
        <w:rPr>
          <w:b/>
        </w:rPr>
        <w:t>the pay gap between male and female faculty has been increasing over the past six years</w:t>
      </w:r>
      <w:r w:rsidR="007E3F6F">
        <w:t>, from a recent (possibly all time) low of $9,895 in 2012</w:t>
      </w:r>
      <w:r w:rsidR="006C3744">
        <w:t xml:space="preserve"> to the 2018 $11.309</w:t>
      </w:r>
      <w:r w:rsidR="007E3F6F">
        <w:t xml:space="preserve">.  </w:t>
      </w:r>
    </w:p>
    <w:p w14:paraId="731004A3" w14:textId="77777777" w:rsidR="00DD0898" w:rsidRDefault="00DD0898">
      <w:pPr>
        <w:jc w:val="both"/>
        <w:rPr>
          <w:sz w:val="12"/>
          <w:szCs w:val="12"/>
        </w:rPr>
      </w:pPr>
    </w:p>
    <w:p w14:paraId="488ED3A1" w14:textId="77777777" w:rsidR="00DD0898" w:rsidRDefault="007E3F6F">
      <w:pPr>
        <w:jc w:val="center"/>
        <w:rPr>
          <w:sz w:val="12"/>
          <w:szCs w:val="12"/>
        </w:rPr>
      </w:pPr>
      <w:r>
        <w:rPr>
          <w:noProof/>
          <w:lang w:val="en-US"/>
        </w:rPr>
        <w:lastRenderedPageBreak/>
        <w:drawing>
          <wp:inline distT="114300" distB="114300" distL="114300" distR="114300" wp14:anchorId="3D6740A1" wp14:editId="3D2741D2">
            <wp:extent cx="3407948" cy="2157413"/>
            <wp:effectExtent l="25400" t="25400" r="25400" b="2540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7"/>
                    <a:srcRect/>
                    <a:stretch>
                      <a:fillRect/>
                    </a:stretch>
                  </pic:blipFill>
                  <pic:spPr>
                    <a:xfrm>
                      <a:off x="0" y="0"/>
                      <a:ext cx="3407948" cy="2157413"/>
                    </a:xfrm>
                    <a:prstGeom prst="rect">
                      <a:avLst/>
                    </a:prstGeom>
                    <a:ln w="25400">
                      <a:solidFill>
                        <a:srgbClr val="000000"/>
                      </a:solidFill>
                      <a:prstDash val="solid"/>
                    </a:ln>
                  </pic:spPr>
                </pic:pic>
              </a:graphicData>
            </a:graphic>
          </wp:inline>
        </w:drawing>
      </w:r>
    </w:p>
    <w:p w14:paraId="2A59AF6A" w14:textId="77777777" w:rsidR="00DD0898" w:rsidRDefault="00DD0898">
      <w:pPr>
        <w:jc w:val="both"/>
      </w:pPr>
    </w:p>
    <w:p w14:paraId="4DAB4CE0" w14:textId="77777777" w:rsidR="00DD0898" w:rsidRDefault="007E3F6F">
      <w:pPr>
        <w:jc w:val="both"/>
      </w:pPr>
      <w:r>
        <w:t xml:space="preserve">We believe that this pay gap is partly due to the fact that </w:t>
      </w:r>
      <w:r>
        <w:rPr>
          <w:b/>
        </w:rPr>
        <w:t>female faculty are overrepresented in non-tenure-track (NTT) lines and underrepresented in tenured/tenure-track (TT) lines</w:t>
      </w:r>
      <w:r>
        <w:t xml:space="preserve">. While we recognize that NTT and TT lines mean different things in different colleges, our calculations show that </w:t>
      </w:r>
      <w:r>
        <w:rPr>
          <w:b/>
        </w:rPr>
        <w:t>TT lines pay more at every rank and in every college than comparable NTT lines</w:t>
      </w:r>
      <w:r>
        <w:t xml:space="preserve">, as later figures will demonstrate. Thus, the overrepresentation of women in NTT lines would translate into lower average salaries. </w:t>
      </w:r>
    </w:p>
    <w:p w14:paraId="3FB0FF46" w14:textId="77777777" w:rsidR="00DD0898" w:rsidRDefault="00DD0898">
      <w:pPr>
        <w:jc w:val="both"/>
        <w:rPr>
          <w:sz w:val="12"/>
          <w:szCs w:val="12"/>
        </w:rPr>
      </w:pPr>
    </w:p>
    <w:p w14:paraId="043DE85D" w14:textId="77777777" w:rsidR="00DD0898" w:rsidRDefault="007E3F6F">
      <w:pPr>
        <w:jc w:val="both"/>
      </w:pPr>
      <w:r>
        <w:t xml:space="preserve">The difference between male and female faculty by tenure eligibility is considerable. According to NAU’s Fall 2018 Quick Facts: Full-Time Faculty by Tenure and Rank, </w:t>
      </w:r>
      <w:r>
        <w:rPr>
          <w:b/>
        </w:rPr>
        <w:t>female faculty comprise about 51.4% (606/1,180) of the full-time faculty body but make up only 41% of TT lines (226/551) and over 60% (380/629) of NTT lines.</w:t>
      </w:r>
      <w:r>
        <w:rPr>
          <w:vertAlign w:val="superscript"/>
        </w:rPr>
        <w:footnoteReference w:id="2"/>
      </w:r>
      <w:r>
        <w:t xml:space="preserve"> In fact, if we group faculty by tenure eligibility and gender, female NTT faculty comprise the largest portion of the full-time faculty population and female TT faculty the smallest. </w:t>
      </w:r>
    </w:p>
    <w:p w14:paraId="5607F9A5" w14:textId="77777777" w:rsidR="00DD0898" w:rsidRDefault="00DD0898">
      <w:pPr>
        <w:jc w:val="both"/>
        <w:rPr>
          <w:sz w:val="12"/>
          <w:szCs w:val="12"/>
        </w:rPr>
      </w:pPr>
    </w:p>
    <w:p w14:paraId="0B01222F" w14:textId="77777777" w:rsidR="00DD0898" w:rsidRDefault="007E3F6F">
      <w:pPr>
        <w:ind w:left="2160" w:firstLine="720"/>
        <w:jc w:val="both"/>
      </w:pPr>
      <w:r>
        <w:t xml:space="preserve">Female NTT faculty </w:t>
      </w:r>
      <w:r>
        <w:tab/>
      </w:r>
      <w:r>
        <w:tab/>
      </w:r>
      <w:r>
        <w:tab/>
        <w:t xml:space="preserve">32.2% (380 / 1180) </w:t>
      </w:r>
      <w:r>
        <w:tab/>
      </w:r>
    </w:p>
    <w:p w14:paraId="4589267D" w14:textId="77777777" w:rsidR="00DD0898" w:rsidRDefault="007E3F6F">
      <w:pPr>
        <w:ind w:left="2160" w:firstLine="720"/>
        <w:jc w:val="both"/>
      </w:pPr>
      <w:r>
        <w:t>Male TT faculty</w:t>
      </w:r>
      <w:r>
        <w:tab/>
      </w:r>
      <w:r>
        <w:tab/>
      </w:r>
      <w:r>
        <w:tab/>
        <w:t>27.5% (325 / 1180)</w:t>
      </w:r>
      <w:r>
        <w:tab/>
      </w:r>
      <w:r>
        <w:tab/>
      </w:r>
      <w:r>
        <w:tab/>
      </w:r>
    </w:p>
    <w:p w14:paraId="399652D7" w14:textId="77777777" w:rsidR="00DD0898" w:rsidRDefault="007E3F6F">
      <w:pPr>
        <w:ind w:left="2160" w:firstLine="720"/>
        <w:jc w:val="both"/>
      </w:pPr>
      <w:r>
        <w:t>Male NTT faculty</w:t>
      </w:r>
      <w:r>
        <w:tab/>
      </w:r>
      <w:r>
        <w:tab/>
      </w:r>
      <w:r>
        <w:tab/>
        <w:t>21.1% (249 / 1180)</w:t>
      </w:r>
      <w:r>
        <w:tab/>
      </w:r>
      <w:r>
        <w:tab/>
      </w:r>
      <w:r>
        <w:tab/>
      </w:r>
    </w:p>
    <w:p w14:paraId="56F4DC3E" w14:textId="77777777" w:rsidR="00DD0898" w:rsidRDefault="007E3F6F">
      <w:pPr>
        <w:ind w:left="2160" w:firstLine="720"/>
        <w:jc w:val="both"/>
      </w:pPr>
      <w:r>
        <w:t>Female TT faculty</w:t>
      </w:r>
      <w:r>
        <w:tab/>
      </w:r>
      <w:r>
        <w:tab/>
      </w:r>
      <w:r>
        <w:tab/>
        <w:t>19.2% (226 / 1180)</w:t>
      </w:r>
      <w:r>
        <w:tab/>
      </w:r>
      <w:r>
        <w:tab/>
      </w:r>
      <w:r>
        <w:tab/>
      </w:r>
    </w:p>
    <w:p w14:paraId="0AB22412" w14:textId="77777777" w:rsidR="00DD0898" w:rsidRDefault="00DD0898">
      <w:pPr>
        <w:jc w:val="both"/>
        <w:rPr>
          <w:b/>
        </w:rPr>
      </w:pPr>
    </w:p>
    <w:p w14:paraId="6F1E8F71" w14:textId="77777777" w:rsidR="00DD0898" w:rsidRDefault="007E3F6F">
      <w:pPr>
        <w:jc w:val="both"/>
      </w:pPr>
      <w:r>
        <w:rPr>
          <w:b/>
        </w:rPr>
        <w:t>Female faculty also make up the majority of our part-time faculty.</w:t>
      </w:r>
      <w:r>
        <w:t xml:space="preserve"> 2018 data is not yet available, but the 2017-2018 Fact Book lists 593 Temporary Part-Time Postsecondary Teachers in Fall 2017; of these, 382, or 64.4% are female.</w:t>
      </w:r>
      <w:r>
        <w:rPr>
          <w:vertAlign w:val="superscript"/>
        </w:rPr>
        <w:footnoteReference w:id="3"/>
      </w:r>
      <w:r>
        <w:t xml:space="preserve"> (Please note: these numbers presumably only count part-time faculty working in the fall semester when the count is taken, not the entire year.) </w:t>
      </w:r>
    </w:p>
    <w:p w14:paraId="0271D824" w14:textId="77777777" w:rsidR="00DD0898" w:rsidRDefault="00DD0898">
      <w:pPr>
        <w:jc w:val="both"/>
        <w:rPr>
          <w:sz w:val="12"/>
          <w:szCs w:val="12"/>
        </w:rPr>
      </w:pPr>
    </w:p>
    <w:p w14:paraId="647D9ABE" w14:textId="77777777" w:rsidR="00DD0898" w:rsidRDefault="007E3F6F">
      <w:pPr>
        <w:jc w:val="center"/>
      </w:pPr>
      <w:r>
        <w:rPr>
          <w:noProof/>
          <w:lang w:val="en-US"/>
        </w:rPr>
        <w:drawing>
          <wp:inline distT="114300" distB="114300" distL="114300" distR="114300" wp14:anchorId="2614ED42" wp14:editId="0BDEB9E6">
            <wp:extent cx="4829175" cy="1714774"/>
            <wp:effectExtent l="25400" t="25400" r="25400" b="25400"/>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4829175" cy="1714774"/>
                    </a:xfrm>
                    <a:prstGeom prst="rect">
                      <a:avLst/>
                    </a:prstGeom>
                    <a:ln w="25400">
                      <a:solidFill>
                        <a:srgbClr val="000000"/>
                      </a:solidFill>
                      <a:prstDash val="solid"/>
                    </a:ln>
                  </pic:spPr>
                </pic:pic>
              </a:graphicData>
            </a:graphic>
          </wp:inline>
        </w:drawing>
      </w:r>
    </w:p>
    <w:p w14:paraId="41A657AC" w14:textId="77777777" w:rsidR="00DD0898" w:rsidRDefault="00DD0898">
      <w:pPr>
        <w:jc w:val="center"/>
        <w:rPr>
          <w:sz w:val="12"/>
          <w:szCs w:val="12"/>
        </w:rPr>
      </w:pPr>
    </w:p>
    <w:p w14:paraId="257E3A80" w14:textId="77777777" w:rsidR="00DD0898" w:rsidRDefault="007E3F6F">
      <w:pPr>
        <w:jc w:val="both"/>
      </w:pPr>
      <w:r>
        <w:lastRenderedPageBreak/>
        <w:t>Overall, then, we can see considerable discrepancies in tenure eligibility by gender: in 2017, TT lines were 59.9% male and 40.1% female while NTT lines were 39.3% male and 60.7% female and PT lines are 35.6% male and 64.4% female.</w:t>
      </w:r>
      <w:r>
        <w:rPr>
          <w:vertAlign w:val="superscript"/>
        </w:rPr>
        <w:footnoteReference w:id="4"/>
      </w:r>
      <w:r>
        <w:t xml:space="preserve">  </w:t>
      </w:r>
    </w:p>
    <w:p w14:paraId="7697123E" w14:textId="77777777" w:rsidR="00DD0898" w:rsidRPr="008A3FCB" w:rsidRDefault="00DD0898">
      <w:pPr>
        <w:jc w:val="both"/>
      </w:pPr>
    </w:p>
    <w:p w14:paraId="1CA3DB3F" w14:textId="77777777" w:rsidR="00DD0898" w:rsidRPr="008A3FCB" w:rsidRDefault="007E3F6F" w:rsidP="008A3FCB">
      <w:pPr>
        <w:widowControl w:val="0"/>
        <w:spacing w:line="240" w:lineRule="auto"/>
        <w:ind w:firstLine="1080"/>
      </w:pPr>
      <w:r>
        <w:rPr>
          <w:noProof/>
          <w:lang w:val="en-US"/>
        </w:rPr>
        <w:drawing>
          <wp:inline distT="114300" distB="114300" distL="114300" distR="114300" wp14:anchorId="60294A4E" wp14:editId="2B1471DF">
            <wp:extent cx="2328863" cy="1802415"/>
            <wp:effectExtent l="25400" t="25400" r="25400" b="25400"/>
            <wp:docPr id="2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
                    <a:srcRect/>
                    <a:stretch>
                      <a:fillRect/>
                    </a:stretch>
                  </pic:blipFill>
                  <pic:spPr>
                    <a:xfrm>
                      <a:off x="0" y="0"/>
                      <a:ext cx="2328863" cy="1802415"/>
                    </a:xfrm>
                    <a:prstGeom prst="rect">
                      <a:avLst/>
                    </a:prstGeom>
                    <a:ln w="25400">
                      <a:solidFill>
                        <a:srgbClr val="000000"/>
                      </a:solidFill>
                      <a:prstDash val="solid"/>
                    </a:ln>
                  </pic:spPr>
                </pic:pic>
              </a:graphicData>
            </a:graphic>
          </wp:inline>
        </w:drawing>
      </w:r>
      <w:r>
        <w:tab/>
      </w:r>
      <w:r>
        <w:tab/>
      </w:r>
      <w:r>
        <w:rPr>
          <w:noProof/>
          <w:lang w:val="en-US"/>
        </w:rPr>
        <w:drawing>
          <wp:inline distT="114300" distB="114300" distL="114300" distR="114300" wp14:anchorId="4A614231" wp14:editId="103524E6">
            <wp:extent cx="2214563" cy="1800536"/>
            <wp:effectExtent l="25400" t="25400" r="25400" b="2540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2214563" cy="1800536"/>
                    </a:xfrm>
                    <a:prstGeom prst="rect">
                      <a:avLst/>
                    </a:prstGeom>
                    <a:ln w="25400">
                      <a:solidFill>
                        <a:srgbClr val="000000"/>
                      </a:solidFill>
                      <a:prstDash val="solid"/>
                    </a:ln>
                  </pic:spPr>
                </pic:pic>
              </a:graphicData>
            </a:graphic>
          </wp:inline>
        </w:drawing>
      </w:r>
    </w:p>
    <w:p w14:paraId="551ECA24" w14:textId="77777777" w:rsidR="00DD0898" w:rsidRDefault="00DD0898">
      <w:pPr>
        <w:widowControl w:val="0"/>
        <w:spacing w:line="240" w:lineRule="auto"/>
        <w:jc w:val="both"/>
      </w:pPr>
    </w:p>
    <w:p w14:paraId="193DA125" w14:textId="77777777" w:rsidR="00DD0898" w:rsidRDefault="007E3F6F">
      <w:pPr>
        <w:widowControl w:val="0"/>
        <w:spacing w:line="240" w:lineRule="auto"/>
        <w:jc w:val="both"/>
      </w:pPr>
      <w:r>
        <w:t>Race and ethnicity appear to have less impact on tenure eligibility than gender. Although NAU does not post statistics regarding numbers of faculty by tenure status and race/ethnicity, this data is available through the IPEDS website.</w:t>
      </w:r>
      <w:r>
        <w:rPr>
          <w:vertAlign w:val="superscript"/>
        </w:rPr>
        <w:footnoteReference w:id="5"/>
      </w:r>
      <w:r>
        <w:t xml:space="preserve"> According to IPEDS data, in 2017, NAU had 1,132 full-time faculty; 891 (78.7%) were white, 166 (14.7%) were people of color, 35 (3.1%) were non-resident aliens, and 40 (3.5%) were of unknown race/ethnicity. That distribution remains roughly consistent regardless of tenure eligibility. </w:t>
      </w:r>
    </w:p>
    <w:p w14:paraId="6C5BC8A7" w14:textId="77777777" w:rsidR="00DD0898" w:rsidRDefault="00DD0898">
      <w:pPr>
        <w:widowControl w:val="0"/>
        <w:spacing w:line="240" w:lineRule="auto"/>
        <w:jc w:val="both"/>
      </w:pPr>
    </w:p>
    <w:tbl>
      <w:tblPr>
        <w:tblStyle w:val="a"/>
        <w:tblW w:w="75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1860"/>
        <w:gridCol w:w="1575"/>
        <w:gridCol w:w="1785"/>
      </w:tblGrid>
      <w:tr w:rsidR="00DD0898" w14:paraId="29AEE8CD" w14:textId="77777777" w:rsidTr="008A3FCB">
        <w:trPr>
          <w:trHeight w:val="132"/>
          <w:jc w:val="center"/>
        </w:trPr>
        <w:tc>
          <w:tcPr>
            <w:tcW w:w="7500" w:type="dxa"/>
            <w:gridSpan w:val="4"/>
            <w:shd w:val="clear" w:color="auto" w:fill="auto"/>
            <w:tcMar>
              <w:top w:w="100" w:type="dxa"/>
              <w:left w:w="100" w:type="dxa"/>
              <w:bottom w:w="100" w:type="dxa"/>
              <w:right w:w="100" w:type="dxa"/>
            </w:tcMar>
          </w:tcPr>
          <w:p w14:paraId="182DA20F" w14:textId="77777777" w:rsidR="00DD0898" w:rsidRDefault="007E3F6F">
            <w:pPr>
              <w:widowControl w:val="0"/>
              <w:pBdr>
                <w:top w:val="nil"/>
                <w:left w:val="nil"/>
                <w:bottom w:val="nil"/>
                <w:right w:val="nil"/>
                <w:between w:val="nil"/>
              </w:pBdr>
              <w:spacing w:line="240" w:lineRule="auto"/>
              <w:ind w:left="720"/>
              <w:jc w:val="center"/>
              <w:rPr>
                <w:b/>
              </w:rPr>
            </w:pPr>
            <w:r>
              <w:rPr>
                <w:b/>
              </w:rPr>
              <w:t>2017 Faculty by Race and Tenure Eligibility</w:t>
            </w:r>
          </w:p>
        </w:tc>
      </w:tr>
      <w:tr w:rsidR="00DD0898" w14:paraId="7D5CF19B" w14:textId="77777777" w:rsidTr="008A3FCB">
        <w:trPr>
          <w:jc w:val="center"/>
        </w:trPr>
        <w:tc>
          <w:tcPr>
            <w:tcW w:w="2280" w:type="dxa"/>
            <w:shd w:val="clear" w:color="auto" w:fill="auto"/>
            <w:tcMar>
              <w:top w:w="100" w:type="dxa"/>
              <w:left w:w="100" w:type="dxa"/>
              <w:bottom w:w="100" w:type="dxa"/>
              <w:right w:w="100" w:type="dxa"/>
            </w:tcMar>
          </w:tcPr>
          <w:p w14:paraId="3625C1A9" w14:textId="77777777" w:rsidR="00DD0898" w:rsidRDefault="00DD0898">
            <w:pPr>
              <w:widowControl w:val="0"/>
              <w:pBdr>
                <w:top w:val="nil"/>
                <w:left w:val="nil"/>
                <w:bottom w:val="nil"/>
                <w:right w:val="nil"/>
                <w:between w:val="nil"/>
              </w:pBdr>
              <w:spacing w:line="240" w:lineRule="auto"/>
              <w:ind w:left="720"/>
            </w:pPr>
          </w:p>
        </w:tc>
        <w:tc>
          <w:tcPr>
            <w:tcW w:w="1860" w:type="dxa"/>
            <w:shd w:val="clear" w:color="auto" w:fill="auto"/>
            <w:tcMar>
              <w:top w:w="100" w:type="dxa"/>
              <w:left w:w="100" w:type="dxa"/>
              <w:bottom w:w="100" w:type="dxa"/>
              <w:right w:w="100" w:type="dxa"/>
            </w:tcMar>
          </w:tcPr>
          <w:p w14:paraId="61834B48" w14:textId="77777777" w:rsidR="00DD0898" w:rsidRDefault="007E3F6F">
            <w:pPr>
              <w:widowControl w:val="0"/>
              <w:pBdr>
                <w:top w:val="nil"/>
                <w:left w:val="nil"/>
                <w:bottom w:val="nil"/>
                <w:right w:val="nil"/>
                <w:between w:val="nil"/>
              </w:pBdr>
              <w:spacing w:line="240" w:lineRule="auto"/>
              <w:jc w:val="center"/>
            </w:pPr>
            <w:r>
              <w:t>Total FT Faculty</w:t>
            </w:r>
          </w:p>
        </w:tc>
        <w:tc>
          <w:tcPr>
            <w:tcW w:w="1575" w:type="dxa"/>
            <w:shd w:val="clear" w:color="auto" w:fill="auto"/>
            <w:tcMar>
              <w:top w:w="100" w:type="dxa"/>
              <w:left w:w="100" w:type="dxa"/>
              <w:bottom w:w="100" w:type="dxa"/>
              <w:right w:w="100" w:type="dxa"/>
            </w:tcMar>
          </w:tcPr>
          <w:p w14:paraId="04EBEFA9" w14:textId="77777777" w:rsidR="00DD0898" w:rsidRDefault="007E3F6F">
            <w:pPr>
              <w:widowControl w:val="0"/>
              <w:pBdr>
                <w:top w:val="nil"/>
                <w:left w:val="nil"/>
                <w:bottom w:val="nil"/>
                <w:right w:val="nil"/>
                <w:between w:val="nil"/>
              </w:pBdr>
              <w:spacing w:line="240" w:lineRule="auto"/>
              <w:jc w:val="center"/>
            </w:pPr>
            <w:r>
              <w:t>TT Faculty</w:t>
            </w:r>
          </w:p>
        </w:tc>
        <w:tc>
          <w:tcPr>
            <w:tcW w:w="1785" w:type="dxa"/>
            <w:shd w:val="clear" w:color="auto" w:fill="auto"/>
            <w:tcMar>
              <w:top w:w="100" w:type="dxa"/>
              <w:left w:w="100" w:type="dxa"/>
              <w:bottom w:w="100" w:type="dxa"/>
              <w:right w:w="100" w:type="dxa"/>
            </w:tcMar>
          </w:tcPr>
          <w:p w14:paraId="6A55EC73" w14:textId="77777777" w:rsidR="00DD0898" w:rsidRDefault="007E3F6F">
            <w:pPr>
              <w:widowControl w:val="0"/>
              <w:pBdr>
                <w:top w:val="nil"/>
                <w:left w:val="nil"/>
                <w:bottom w:val="nil"/>
                <w:right w:val="nil"/>
                <w:between w:val="nil"/>
              </w:pBdr>
              <w:spacing w:line="240" w:lineRule="auto"/>
              <w:jc w:val="center"/>
            </w:pPr>
            <w:r>
              <w:t>NTT Faculty</w:t>
            </w:r>
          </w:p>
        </w:tc>
      </w:tr>
      <w:tr w:rsidR="00DD0898" w14:paraId="61C25F6C" w14:textId="77777777" w:rsidTr="008A3FCB">
        <w:trPr>
          <w:jc w:val="center"/>
        </w:trPr>
        <w:tc>
          <w:tcPr>
            <w:tcW w:w="2280" w:type="dxa"/>
            <w:shd w:val="clear" w:color="auto" w:fill="auto"/>
            <w:tcMar>
              <w:top w:w="100" w:type="dxa"/>
              <w:left w:w="100" w:type="dxa"/>
              <w:bottom w:w="100" w:type="dxa"/>
              <w:right w:w="100" w:type="dxa"/>
            </w:tcMar>
          </w:tcPr>
          <w:p w14:paraId="71ADD4D8" w14:textId="77777777" w:rsidR="00DD0898" w:rsidRDefault="007E3F6F">
            <w:pPr>
              <w:widowControl w:val="0"/>
              <w:pBdr>
                <w:top w:val="nil"/>
                <w:left w:val="nil"/>
                <w:bottom w:val="nil"/>
                <w:right w:val="nil"/>
                <w:between w:val="nil"/>
              </w:pBdr>
              <w:spacing w:line="240" w:lineRule="auto"/>
            </w:pPr>
            <w:r>
              <w:t>White</w:t>
            </w:r>
          </w:p>
        </w:tc>
        <w:tc>
          <w:tcPr>
            <w:tcW w:w="1860" w:type="dxa"/>
            <w:shd w:val="clear" w:color="auto" w:fill="auto"/>
            <w:tcMar>
              <w:top w:w="100" w:type="dxa"/>
              <w:left w:w="100" w:type="dxa"/>
              <w:bottom w:w="100" w:type="dxa"/>
              <w:right w:w="100" w:type="dxa"/>
            </w:tcMar>
          </w:tcPr>
          <w:p w14:paraId="34CB6751" w14:textId="77777777" w:rsidR="00DD0898" w:rsidRDefault="007E3F6F">
            <w:pPr>
              <w:widowControl w:val="0"/>
              <w:pBdr>
                <w:top w:val="nil"/>
                <w:left w:val="nil"/>
                <w:bottom w:val="nil"/>
                <w:right w:val="nil"/>
                <w:between w:val="nil"/>
              </w:pBdr>
              <w:spacing w:line="240" w:lineRule="auto"/>
              <w:jc w:val="center"/>
            </w:pPr>
            <w:r>
              <w:t>891 / 78.7%</w:t>
            </w:r>
          </w:p>
        </w:tc>
        <w:tc>
          <w:tcPr>
            <w:tcW w:w="1575" w:type="dxa"/>
            <w:shd w:val="clear" w:color="auto" w:fill="auto"/>
            <w:tcMar>
              <w:top w:w="100" w:type="dxa"/>
              <w:left w:w="100" w:type="dxa"/>
              <w:bottom w:w="100" w:type="dxa"/>
              <w:right w:w="100" w:type="dxa"/>
            </w:tcMar>
          </w:tcPr>
          <w:p w14:paraId="7A476A36" w14:textId="77777777" w:rsidR="00DD0898" w:rsidRDefault="007E3F6F">
            <w:pPr>
              <w:widowControl w:val="0"/>
              <w:pBdr>
                <w:top w:val="nil"/>
                <w:left w:val="nil"/>
                <w:bottom w:val="nil"/>
                <w:right w:val="nil"/>
                <w:between w:val="nil"/>
              </w:pBdr>
              <w:spacing w:line="240" w:lineRule="auto"/>
              <w:jc w:val="center"/>
            </w:pPr>
            <w:r>
              <w:t>433 / 78.9%</w:t>
            </w:r>
          </w:p>
        </w:tc>
        <w:tc>
          <w:tcPr>
            <w:tcW w:w="1785" w:type="dxa"/>
            <w:shd w:val="clear" w:color="auto" w:fill="auto"/>
            <w:tcMar>
              <w:top w:w="100" w:type="dxa"/>
              <w:left w:w="100" w:type="dxa"/>
              <w:bottom w:w="100" w:type="dxa"/>
              <w:right w:w="100" w:type="dxa"/>
            </w:tcMar>
          </w:tcPr>
          <w:p w14:paraId="20C28704" w14:textId="77777777" w:rsidR="00DD0898" w:rsidRDefault="007E3F6F">
            <w:pPr>
              <w:widowControl w:val="0"/>
              <w:pBdr>
                <w:top w:val="nil"/>
                <w:left w:val="nil"/>
                <w:bottom w:val="nil"/>
                <w:right w:val="nil"/>
                <w:between w:val="nil"/>
              </w:pBdr>
              <w:spacing w:line="240" w:lineRule="auto"/>
              <w:jc w:val="center"/>
            </w:pPr>
            <w:r>
              <w:t>458 / 78.6%</w:t>
            </w:r>
          </w:p>
        </w:tc>
      </w:tr>
      <w:tr w:rsidR="00DD0898" w14:paraId="7ED6B0DF" w14:textId="77777777" w:rsidTr="008A3FCB">
        <w:trPr>
          <w:jc w:val="center"/>
        </w:trPr>
        <w:tc>
          <w:tcPr>
            <w:tcW w:w="2280" w:type="dxa"/>
            <w:shd w:val="clear" w:color="auto" w:fill="auto"/>
            <w:tcMar>
              <w:top w:w="100" w:type="dxa"/>
              <w:left w:w="100" w:type="dxa"/>
              <w:bottom w:w="100" w:type="dxa"/>
              <w:right w:w="100" w:type="dxa"/>
            </w:tcMar>
          </w:tcPr>
          <w:p w14:paraId="78D38A32" w14:textId="77777777" w:rsidR="00DD0898" w:rsidRDefault="007E3F6F">
            <w:pPr>
              <w:widowControl w:val="0"/>
              <w:pBdr>
                <w:top w:val="nil"/>
                <w:left w:val="nil"/>
                <w:bottom w:val="nil"/>
                <w:right w:val="nil"/>
                <w:between w:val="nil"/>
              </w:pBdr>
              <w:spacing w:line="240" w:lineRule="auto"/>
            </w:pPr>
            <w:r>
              <w:t>People of Color</w:t>
            </w:r>
          </w:p>
        </w:tc>
        <w:tc>
          <w:tcPr>
            <w:tcW w:w="1860" w:type="dxa"/>
            <w:shd w:val="clear" w:color="auto" w:fill="auto"/>
            <w:tcMar>
              <w:top w:w="100" w:type="dxa"/>
              <w:left w:w="100" w:type="dxa"/>
              <w:bottom w:w="100" w:type="dxa"/>
              <w:right w:w="100" w:type="dxa"/>
            </w:tcMar>
          </w:tcPr>
          <w:p w14:paraId="6669A9CE" w14:textId="77777777" w:rsidR="00DD0898" w:rsidRDefault="007E3F6F">
            <w:pPr>
              <w:widowControl w:val="0"/>
              <w:pBdr>
                <w:top w:val="nil"/>
                <w:left w:val="nil"/>
                <w:bottom w:val="nil"/>
                <w:right w:val="nil"/>
                <w:between w:val="nil"/>
              </w:pBdr>
              <w:spacing w:line="240" w:lineRule="auto"/>
              <w:jc w:val="center"/>
            </w:pPr>
            <w:r>
              <w:t>166 / 14.7%</w:t>
            </w:r>
          </w:p>
        </w:tc>
        <w:tc>
          <w:tcPr>
            <w:tcW w:w="1575" w:type="dxa"/>
            <w:shd w:val="clear" w:color="auto" w:fill="auto"/>
            <w:tcMar>
              <w:top w:w="100" w:type="dxa"/>
              <w:left w:w="100" w:type="dxa"/>
              <w:bottom w:w="100" w:type="dxa"/>
              <w:right w:w="100" w:type="dxa"/>
            </w:tcMar>
          </w:tcPr>
          <w:p w14:paraId="7EA43799" w14:textId="77777777" w:rsidR="00DD0898" w:rsidRDefault="007E3F6F">
            <w:pPr>
              <w:widowControl w:val="0"/>
              <w:pBdr>
                <w:top w:val="nil"/>
                <w:left w:val="nil"/>
                <w:bottom w:val="nil"/>
                <w:right w:val="nil"/>
                <w:between w:val="nil"/>
              </w:pBdr>
              <w:spacing w:line="240" w:lineRule="auto"/>
              <w:jc w:val="center"/>
            </w:pPr>
            <w:r>
              <w:t>78 / 14.2%</w:t>
            </w:r>
          </w:p>
        </w:tc>
        <w:tc>
          <w:tcPr>
            <w:tcW w:w="1785" w:type="dxa"/>
            <w:shd w:val="clear" w:color="auto" w:fill="auto"/>
            <w:tcMar>
              <w:top w:w="100" w:type="dxa"/>
              <w:left w:w="100" w:type="dxa"/>
              <w:bottom w:w="100" w:type="dxa"/>
              <w:right w:w="100" w:type="dxa"/>
            </w:tcMar>
          </w:tcPr>
          <w:p w14:paraId="7CF5DAC5" w14:textId="77777777" w:rsidR="00DD0898" w:rsidRDefault="007E3F6F">
            <w:pPr>
              <w:widowControl w:val="0"/>
              <w:pBdr>
                <w:top w:val="nil"/>
                <w:left w:val="nil"/>
                <w:bottom w:val="nil"/>
                <w:right w:val="nil"/>
                <w:between w:val="nil"/>
              </w:pBdr>
              <w:spacing w:line="240" w:lineRule="auto"/>
              <w:jc w:val="center"/>
            </w:pPr>
            <w:r>
              <w:t>88 / 15.1%</w:t>
            </w:r>
          </w:p>
        </w:tc>
      </w:tr>
      <w:tr w:rsidR="00DD0898" w14:paraId="6B2BDE90" w14:textId="77777777" w:rsidTr="008A3FCB">
        <w:trPr>
          <w:jc w:val="center"/>
        </w:trPr>
        <w:tc>
          <w:tcPr>
            <w:tcW w:w="2280" w:type="dxa"/>
            <w:shd w:val="clear" w:color="auto" w:fill="auto"/>
            <w:tcMar>
              <w:top w:w="100" w:type="dxa"/>
              <w:left w:w="100" w:type="dxa"/>
              <w:bottom w:w="100" w:type="dxa"/>
              <w:right w:w="100" w:type="dxa"/>
            </w:tcMar>
          </w:tcPr>
          <w:p w14:paraId="0D4C5E37" w14:textId="77777777" w:rsidR="00DD0898" w:rsidRDefault="007E3F6F">
            <w:pPr>
              <w:widowControl w:val="0"/>
              <w:pBdr>
                <w:top w:val="nil"/>
                <w:left w:val="nil"/>
                <w:bottom w:val="nil"/>
                <w:right w:val="nil"/>
                <w:between w:val="nil"/>
              </w:pBdr>
              <w:spacing w:line="240" w:lineRule="auto"/>
            </w:pPr>
            <w:r>
              <w:t>Non-Resident Alien</w:t>
            </w:r>
          </w:p>
        </w:tc>
        <w:tc>
          <w:tcPr>
            <w:tcW w:w="1860" w:type="dxa"/>
            <w:shd w:val="clear" w:color="auto" w:fill="auto"/>
            <w:tcMar>
              <w:top w:w="100" w:type="dxa"/>
              <w:left w:w="100" w:type="dxa"/>
              <w:bottom w:w="100" w:type="dxa"/>
              <w:right w:w="100" w:type="dxa"/>
            </w:tcMar>
          </w:tcPr>
          <w:p w14:paraId="45C7198E" w14:textId="77777777" w:rsidR="00DD0898" w:rsidRDefault="007E3F6F">
            <w:pPr>
              <w:widowControl w:val="0"/>
              <w:pBdr>
                <w:top w:val="nil"/>
                <w:left w:val="nil"/>
                <w:bottom w:val="nil"/>
                <w:right w:val="nil"/>
                <w:between w:val="nil"/>
              </w:pBdr>
              <w:spacing w:line="240" w:lineRule="auto"/>
              <w:jc w:val="center"/>
            </w:pPr>
            <w:r>
              <w:t>35 / 3.1%</w:t>
            </w:r>
          </w:p>
        </w:tc>
        <w:tc>
          <w:tcPr>
            <w:tcW w:w="1575" w:type="dxa"/>
            <w:shd w:val="clear" w:color="auto" w:fill="auto"/>
            <w:tcMar>
              <w:top w:w="100" w:type="dxa"/>
              <w:left w:w="100" w:type="dxa"/>
              <w:bottom w:w="100" w:type="dxa"/>
              <w:right w:w="100" w:type="dxa"/>
            </w:tcMar>
          </w:tcPr>
          <w:p w14:paraId="022C318F" w14:textId="77777777" w:rsidR="00DD0898" w:rsidRDefault="007E3F6F">
            <w:pPr>
              <w:widowControl w:val="0"/>
              <w:pBdr>
                <w:top w:val="nil"/>
                <w:left w:val="nil"/>
                <w:bottom w:val="nil"/>
                <w:right w:val="nil"/>
                <w:between w:val="nil"/>
              </w:pBdr>
              <w:spacing w:line="240" w:lineRule="auto"/>
              <w:jc w:val="center"/>
            </w:pPr>
            <w:r>
              <w:t>18 / 3.3%</w:t>
            </w:r>
          </w:p>
        </w:tc>
        <w:tc>
          <w:tcPr>
            <w:tcW w:w="1785" w:type="dxa"/>
            <w:shd w:val="clear" w:color="auto" w:fill="auto"/>
            <w:tcMar>
              <w:top w:w="100" w:type="dxa"/>
              <w:left w:w="100" w:type="dxa"/>
              <w:bottom w:w="100" w:type="dxa"/>
              <w:right w:w="100" w:type="dxa"/>
            </w:tcMar>
          </w:tcPr>
          <w:p w14:paraId="7475EDAC" w14:textId="77777777" w:rsidR="00DD0898" w:rsidRDefault="007E3F6F">
            <w:pPr>
              <w:widowControl w:val="0"/>
              <w:pBdr>
                <w:top w:val="nil"/>
                <w:left w:val="nil"/>
                <w:bottom w:val="nil"/>
                <w:right w:val="nil"/>
                <w:between w:val="nil"/>
              </w:pBdr>
              <w:spacing w:line="240" w:lineRule="auto"/>
              <w:jc w:val="center"/>
            </w:pPr>
            <w:r>
              <w:t>17 / 2.9%</w:t>
            </w:r>
          </w:p>
        </w:tc>
      </w:tr>
      <w:tr w:rsidR="00DD0898" w14:paraId="45B0CD33" w14:textId="77777777" w:rsidTr="008A3FCB">
        <w:trPr>
          <w:jc w:val="center"/>
        </w:trPr>
        <w:tc>
          <w:tcPr>
            <w:tcW w:w="2280" w:type="dxa"/>
            <w:shd w:val="clear" w:color="auto" w:fill="auto"/>
            <w:tcMar>
              <w:top w:w="100" w:type="dxa"/>
              <w:left w:w="100" w:type="dxa"/>
              <w:bottom w:w="100" w:type="dxa"/>
              <w:right w:w="100" w:type="dxa"/>
            </w:tcMar>
          </w:tcPr>
          <w:p w14:paraId="0D062DA1" w14:textId="77777777" w:rsidR="00DD0898" w:rsidRDefault="007E3F6F">
            <w:pPr>
              <w:widowControl w:val="0"/>
              <w:pBdr>
                <w:top w:val="nil"/>
                <w:left w:val="nil"/>
                <w:bottom w:val="nil"/>
                <w:right w:val="nil"/>
                <w:between w:val="nil"/>
              </w:pBdr>
              <w:spacing w:line="240" w:lineRule="auto"/>
            </w:pPr>
            <w:r>
              <w:t xml:space="preserve">Unknown </w:t>
            </w:r>
          </w:p>
        </w:tc>
        <w:tc>
          <w:tcPr>
            <w:tcW w:w="1860" w:type="dxa"/>
            <w:shd w:val="clear" w:color="auto" w:fill="auto"/>
            <w:tcMar>
              <w:top w:w="100" w:type="dxa"/>
              <w:left w:w="100" w:type="dxa"/>
              <w:bottom w:w="100" w:type="dxa"/>
              <w:right w:w="100" w:type="dxa"/>
            </w:tcMar>
          </w:tcPr>
          <w:p w14:paraId="411141F2" w14:textId="77777777" w:rsidR="00DD0898" w:rsidRDefault="007E3F6F">
            <w:pPr>
              <w:widowControl w:val="0"/>
              <w:pBdr>
                <w:top w:val="nil"/>
                <w:left w:val="nil"/>
                <w:bottom w:val="nil"/>
                <w:right w:val="nil"/>
                <w:between w:val="nil"/>
              </w:pBdr>
              <w:spacing w:line="240" w:lineRule="auto"/>
              <w:jc w:val="center"/>
            </w:pPr>
            <w:r>
              <w:t>40 / 3.5%</w:t>
            </w:r>
          </w:p>
        </w:tc>
        <w:tc>
          <w:tcPr>
            <w:tcW w:w="1575" w:type="dxa"/>
            <w:shd w:val="clear" w:color="auto" w:fill="auto"/>
            <w:tcMar>
              <w:top w:w="100" w:type="dxa"/>
              <w:left w:w="100" w:type="dxa"/>
              <w:bottom w:w="100" w:type="dxa"/>
              <w:right w:w="100" w:type="dxa"/>
            </w:tcMar>
          </w:tcPr>
          <w:p w14:paraId="4E1BAD31" w14:textId="77777777" w:rsidR="00DD0898" w:rsidRDefault="007E3F6F">
            <w:pPr>
              <w:widowControl w:val="0"/>
              <w:pBdr>
                <w:top w:val="nil"/>
                <w:left w:val="nil"/>
                <w:bottom w:val="nil"/>
                <w:right w:val="nil"/>
                <w:between w:val="nil"/>
              </w:pBdr>
              <w:spacing w:line="240" w:lineRule="auto"/>
              <w:jc w:val="center"/>
            </w:pPr>
            <w:r>
              <w:t>20 / 3.6%</w:t>
            </w:r>
          </w:p>
        </w:tc>
        <w:tc>
          <w:tcPr>
            <w:tcW w:w="1785" w:type="dxa"/>
            <w:shd w:val="clear" w:color="auto" w:fill="auto"/>
            <w:tcMar>
              <w:top w:w="100" w:type="dxa"/>
              <w:left w:w="100" w:type="dxa"/>
              <w:bottom w:w="100" w:type="dxa"/>
              <w:right w:w="100" w:type="dxa"/>
            </w:tcMar>
          </w:tcPr>
          <w:p w14:paraId="16D00732" w14:textId="77777777" w:rsidR="00DD0898" w:rsidRDefault="007E3F6F">
            <w:pPr>
              <w:widowControl w:val="0"/>
              <w:pBdr>
                <w:top w:val="nil"/>
                <w:left w:val="nil"/>
                <w:bottom w:val="nil"/>
                <w:right w:val="nil"/>
                <w:between w:val="nil"/>
              </w:pBdr>
              <w:spacing w:line="240" w:lineRule="auto"/>
              <w:jc w:val="center"/>
            </w:pPr>
            <w:r>
              <w:t>20 / 3.4%</w:t>
            </w:r>
          </w:p>
        </w:tc>
      </w:tr>
      <w:tr w:rsidR="00DD0898" w14:paraId="0842CB29" w14:textId="77777777" w:rsidTr="008A3FCB">
        <w:trPr>
          <w:jc w:val="center"/>
        </w:trPr>
        <w:tc>
          <w:tcPr>
            <w:tcW w:w="2280" w:type="dxa"/>
            <w:shd w:val="clear" w:color="auto" w:fill="auto"/>
            <w:tcMar>
              <w:top w:w="100" w:type="dxa"/>
              <w:left w:w="100" w:type="dxa"/>
              <w:bottom w:w="100" w:type="dxa"/>
              <w:right w:w="100" w:type="dxa"/>
            </w:tcMar>
          </w:tcPr>
          <w:p w14:paraId="2ABCF4AC" w14:textId="77777777" w:rsidR="00DD0898" w:rsidRDefault="007E3F6F">
            <w:pPr>
              <w:widowControl w:val="0"/>
              <w:pBdr>
                <w:top w:val="nil"/>
                <w:left w:val="nil"/>
                <w:bottom w:val="nil"/>
                <w:right w:val="nil"/>
                <w:between w:val="nil"/>
              </w:pBdr>
              <w:spacing w:line="240" w:lineRule="auto"/>
            </w:pPr>
            <w:r>
              <w:t>Totals</w:t>
            </w:r>
          </w:p>
        </w:tc>
        <w:tc>
          <w:tcPr>
            <w:tcW w:w="1860" w:type="dxa"/>
            <w:shd w:val="clear" w:color="auto" w:fill="auto"/>
            <w:tcMar>
              <w:top w:w="100" w:type="dxa"/>
              <w:left w:w="100" w:type="dxa"/>
              <w:bottom w:w="100" w:type="dxa"/>
              <w:right w:w="100" w:type="dxa"/>
            </w:tcMar>
          </w:tcPr>
          <w:p w14:paraId="2E03277A" w14:textId="77777777" w:rsidR="00DD0898" w:rsidRDefault="007E3F6F">
            <w:pPr>
              <w:widowControl w:val="0"/>
              <w:pBdr>
                <w:top w:val="nil"/>
                <w:left w:val="nil"/>
                <w:bottom w:val="nil"/>
                <w:right w:val="nil"/>
                <w:between w:val="nil"/>
              </w:pBdr>
              <w:spacing w:line="240" w:lineRule="auto"/>
              <w:jc w:val="center"/>
            </w:pPr>
            <w:r>
              <w:t>1132 / 100%</w:t>
            </w:r>
          </w:p>
        </w:tc>
        <w:tc>
          <w:tcPr>
            <w:tcW w:w="1575" w:type="dxa"/>
            <w:shd w:val="clear" w:color="auto" w:fill="auto"/>
            <w:tcMar>
              <w:top w:w="100" w:type="dxa"/>
              <w:left w:w="100" w:type="dxa"/>
              <w:bottom w:w="100" w:type="dxa"/>
              <w:right w:w="100" w:type="dxa"/>
            </w:tcMar>
          </w:tcPr>
          <w:p w14:paraId="4A0E479D" w14:textId="77777777" w:rsidR="00DD0898" w:rsidRDefault="007E3F6F">
            <w:pPr>
              <w:widowControl w:val="0"/>
              <w:pBdr>
                <w:top w:val="nil"/>
                <w:left w:val="nil"/>
                <w:bottom w:val="nil"/>
                <w:right w:val="nil"/>
                <w:between w:val="nil"/>
              </w:pBdr>
              <w:spacing w:line="240" w:lineRule="auto"/>
              <w:jc w:val="center"/>
            </w:pPr>
            <w:r>
              <w:t>549 / 100%</w:t>
            </w:r>
          </w:p>
        </w:tc>
        <w:tc>
          <w:tcPr>
            <w:tcW w:w="1785" w:type="dxa"/>
            <w:shd w:val="clear" w:color="auto" w:fill="auto"/>
            <w:tcMar>
              <w:top w:w="100" w:type="dxa"/>
              <w:left w:w="100" w:type="dxa"/>
              <w:bottom w:w="100" w:type="dxa"/>
              <w:right w:w="100" w:type="dxa"/>
            </w:tcMar>
          </w:tcPr>
          <w:p w14:paraId="20DE3924" w14:textId="77777777" w:rsidR="00DD0898" w:rsidRDefault="007E3F6F">
            <w:pPr>
              <w:widowControl w:val="0"/>
              <w:pBdr>
                <w:top w:val="nil"/>
                <w:left w:val="nil"/>
                <w:bottom w:val="nil"/>
                <w:right w:val="nil"/>
                <w:between w:val="nil"/>
              </w:pBdr>
              <w:spacing w:line="240" w:lineRule="auto"/>
              <w:jc w:val="center"/>
            </w:pPr>
            <w:r>
              <w:t>583 / 100%</w:t>
            </w:r>
          </w:p>
        </w:tc>
      </w:tr>
    </w:tbl>
    <w:p w14:paraId="05789666" w14:textId="77777777" w:rsidR="00DD0898" w:rsidRPr="008A3FCB" w:rsidRDefault="00DD0898">
      <w:pPr>
        <w:widowControl w:val="0"/>
        <w:spacing w:line="240" w:lineRule="auto"/>
        <w:jc w:val="both"/>
      </w:pPr>
    </w:p>
    <w:p w14:paraId="7E2E8ADC" w14:textId="77777777" w:rsidR="00DD0898" w:rsidRDefault="007E3F6F">
      <w:pPr>
        <w:widowControl w:val="0"/>
        <w:spacing w:line="240" w:lineRule="auto"/>
        <w:jc w:val="both"/>
      </w:pPr>
      <w:r>
        <w:t xml:space="preserve">However, the distribution varies dramatically when we take gender into consideration. Men of color are far more likely to have tenure-track positions than women of color. Although 56.6% of our full-time faculty of color are female, they make up only 43.6% of TT lines but 68.2% of NTT lines. </w:t>
      </w:r>
    </w:p>
    <w:p w14:paraId="5A9228E2" w14:textId="77777777" w:rsidR="00DD0898" w:rsidRDefault="00DD0898">
      <w:pPr>
        <w:widowControl w:val="0"/>
        <w:spacing w:line="240" w:lineRule="auto"/>
      </w:pPr>
    </w:p>
    <w:tbl>
      <w:tblPr>
        <w:tblStyle w:val="a0"/>
        <w:tblW w:w="89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2790"/>
        <w:gridCol w:w="1530"/>
        <w:gridCol w:w="1860"/>
      </w:tblGrid>
      <w:tr w:rsidR="00DD0898" w14:paraId="49E42C76" w14:textId="77777777" w:rsidTr="008A3FCB">
        <w:trPr>
          <w:trHeight w:val="132"/>
          <w:jc w:val="center"/>
        </w:trPr>
        <w:tc>
          <w:tcPr>
            <w:tcW w:w="8985" w:type="dxa"/>
            <w:gridSpan w:val="4"/>
            <w:shd w:val="clear" w:color="auto" w:fill="auto"/>
            <w:tcMar>
              <w:top w:w="100" w:type="dxa"/>
              <w:left w:w="100" w:type="dxa"/>
              <w:bottom w:w="100" w:type="dxa"/>
              <w:right w:w="100" w:type="dxa"/>
            </w:tcMar>
          </w:tcPr>
          <w:p w14:paraId="343755D2" w14:textId="77777777" w:rsidR="00DD0898" w:rsidRDefault="007E3F6F">
            <w:pPr>
              <w:widowControl w:val="0"/>
              <w:spacing w:line="240" w:lineRule="auto"/>
              <w:ind w:left="720"/>
              <w:jc w:val="center"/>
              <w:rPr>
                <w:b/>
              </w:rPr>
            </w:pPr>
            <w:r>
              <w:rPr>
                <w:b/>
              </w:rPr>
              <w:t>2017 Faculty of Color by Gender and Tenure Eligibility</w:t>
            </w:r>
          </w:p>
        </w:tc>
      </w:tr>
      <w:tr w:rsidR="00DD0898" w14:paraId="510C43E2" w14:textId="77777777" w:rsidTr="008A3FCB">
        <w:trPr>
          <w:jc w:val="center"/>
        </w:trPr>
        <w:tc>
          <w:tcPr>
            <w:tcW w:w="2805" w:type="dxa"/>
            <w:shd w:val="clear" w:color="auto" w:fill="auto"/>
            <w:tcMar>
              <w:top w:w="100" w:type="dxa"/>
              <w:left w:w="100" w:type="dxa"/>
              <w:bottom w:w="100" w:type="dxa"/>
              <w:right w:w="100" w:type="dxa"/>
            </w:tcMar>
          </w:tcPr>
          <w:p w14:paraId="518A762B" w14:textId="77777777" w:rsidR="00DD0898" w:rsidRDefault="00DD0898">
            <w:pPr>
              <w:widowControl w:val="0"/>
              <w:spacing w:line="240" w:lineRule="auto"/>
              <w:ind w:left="720"/>
            </w:pPr>
          </w:p>
        </w:tc>
        <w:tc>
          <w:tcPr>
            <w:tcW w:w="2790" w:type="dxa"/>
            <w:shd w:val="clear" w:color="auto" w:fill="auto"/>
            <w:tcMar>
              <w:top w:w="100" w:type="dxa"/>
              <w:left w:w="100" w:type="dxa"/>
              <w:bottom w:w="100" w:type="dxa"/>
              <w:right w:w="100" w:type="dxa"/>
            </w:tcMar>
          </w:tcPr>
          <w:p w14:paraId="47E43E84" w14:textId="77777777" w:rsidR="00DD0898" w:rsidRDefault="007E3F6F">
            <w:pPr>
              <w:widowControl w:val="0"/>
              <w:spacing w:line="240" w:lineRule="auto"/>
              <w:jc w:val="center"/>
            </w:pPr>
            <w:r>
              <w:t>Total FT Faculty of Color</w:t>
            </w:r>
          </w:p>
        </w:tc>
        <w:tc>
          <w:tcPr>
            <w:tcW w:w="1530" w:type="dxa"/>
            <w:shd w:val="clear" w:color="auto" w:fill="auto"/>
            <w:tcMar>
              <w:top w:w="100" w:type="dxa"/>
              <w:left w:w="100" w:type="dxa"/>
              <w:bottom w:w="100" w:type="dxa"/>
              <w:right w:w="100" w:type="dxa"/>
            </w:tcMar>
          </w:tcPr>
          <w:p w14:paraId="1A3F2133" w14:textId="77777777" w:rsidR="00DD0898" w:rsidRDefault="007E3F6F">
            <w:pPr>
              <w:widowControl w:val="0"/>
              <w:spacing w:line="240" w:lineRule="auto"/>
              <w:jc w:val="center"/>
            </w:pPr>
            <w:r>
              <w:t>TT Faculty</w:t>
            </w:r>
          </w:p>
        </w:tc>
        <w:tc>
          <w:tcPr>
            <w:tcW w:w="1860" w:type="dxa"/>
            <w:shd w:val="clear" w:color="auto" w:fill="auto"/>
            <w:tcMar>
              <w:top w:w="100" w:type="dxa"/>
              <w:left w:w="100" w:type="dxa"/>
              <w:bottom w:w="100" w:type="dxa"/>
              <w:right w:w="100" w:type="dxa"/>
            </w:tcMar>
          </w:tcPr>
          <w:p w14:paraId="02E973CD" w14:textId="77777777" w:rsidR="00DD0898" w:rsidRDefault="007E3F6F">
            <w:pPr>
              <w:widowControl w:val="0"/>
              <w:spacing w:line="240" w:lineRule="auto"/>
              <w:jc w:val="center"/>
            </w:pPr>
            <w:r>
              <w:t>NTT Faculty</w:t>
            </w:r>
          </w:p>
        </w:tc>
      </w:tr>
      <w:tr w:rsidR="00DD0898" w14:paraId="0E06D314" w14:textId="77777777" w:rsidTr="008A3FCB">
        <w:trPr>
          <w:jc w:val="center"/>
        </w:trPr>
        <w:tc>
          <w:tcPr>
            <w:tcW w:w="2805" w:type="dxa"/>
            <w:shd w:val="clear" w:color="auto" w:fill="auto"/>
            <w:tcMar>
              <w:top w:w="100" w:type="dxa"/>
              <w:left w:w="100" w:type="dxa"/>
              <w:bottom w:w="100" w:type="dxa"/>
              <w:right w:w="100" w:type="dxa"/>
            </w:tcMar>
          </w:tcPr>
          <w:p w14:paraId="5E9508B9" w14:textId="77777777" w:rsidR="00DD0898" w:rsidRDefault="007E3F6F">
            <w:pPr>
              <w:widowControl w:val="0"/>
              <w:spacing w:line="240" w:lineRule="auto"/>
            </w:pPr>
            <w:r>
              <w:t>Male Faculty of Color</w:t>
            </w:r>
          </w:p>
        </w:tc>
        <w:tc>
          <w:tcPr>
            <w:tcW w:w="2790" w:type="dxa"/>
            <w:shd w:val="clear" w:color="auto" w:fill="auto"/>
            <w:tcMar>
              <w:top w:w="100" w:type="dxa"/>
              <w:left w:w="100" w:type="dxa"/>
              <w:bottom w:w="100" w:type="dxa"/>
              <w:right w:w="100" w:type="dxa"/>
            </w:tcMar>
          </w:tcPr>
          <w:p w14:paraId="167C86F6" w14:textId="77777777" w:rsidR="00DD0898" w:rsidRDefault="007E3F6F">
            <w:pPr>
              <w:widowControl w:val="0"/>
              <w:spacing w:line="240" w:lineRule="auto"/>
              <w:jc w:val="center"/>
            </w:pPr>
            <w:r>
              <w:t>72 / 43.4%</w:t>
            </w:r>
          </w:p>
        </w:tc>
        <w:tc>
          <w:tcPr>
            <w:tcW w:w="1530" w:type="dxa"/>
            <w:shd w:val="clear" w:color="auto" w:fill="auto"/>
            <w:tcMar>
              <w:top w:w="100" w:type="dxa"/>
              <w:left w:w="100" w:type="dxa"/>
              <w:bottom w:w="100" w:type="dxa"/>
              <w:right w:w="100" w:type="dxa"/>
            </w:tcMar>
          </w:tcPr>
          <w:p w14:paraId="42525878" w14:textId="77777777" w:rsidR="00DD0898" w:rsidRDefault="007E3F6F">
            <w:pPr>
              <w:widowControl w:val="0"/>
              <w:spacing w:line="240" w:lineRule="auto"/>
              <w:jc w:val="center"/>
            </w:pPr>
            <w:r>
              <w:t>44 / 56.4%</w:t>
            </w:r>
          </w:p>
        </w:tc>
        <w:tc>
          <w:tcPr>
            <w:tcW w:w="1860" w:type="dxa"/>
            <w:shd w:val="clear" w:color="auto" w:fill="auto"/>
            <w:tcMar>
              <w:top w:w="100" w:type="dxa"/>
              <w:left w:w="100" w:type="dxa"/>
              <w:bottom w:w="100" w:type="dxa"/>
              <w:right w:w="100" w:type="dxa"/>
            </w:tcMar>
          </w:tcPr>
          <w:p w14:paraId="6C18C9E9" w14:textId="77777777" w:rsidR="00DD0898" w:rsidRDefault="007E3F6F">
            <w:pPr>
              <w:widowControl w:val="0"/>
              <w:spacing w:line="240" w:lineRule="auto"/>
              <w:jc w:val="center"/>
            </w:pPr>
            <w:r>
              <w:t>28 / 31.8%</w:t>
            </w:r>
          </w:p>
        </w:tc>
      </w:tr>
      <w:tr w:rsidR="00DD0898" w14:paraId="7DA5D831" w14:textId="77777777" w:rsidTr="008A3FCB">
        <w:trPr>
          <w:jc w:val="center"/>
        </w:trPr>
        <w:tc>
          <w:tcPr>
            <w:tcW w:w="2805" w:type="dxa"/>
            <w:shd w:val="clear" w:color="auto" w:fill="auto"/>
            <w:tcMar>
              <w:top w:w="100" w:type="dxa"/>
              <w:left w:w="100" w:type="dxa"/>
              <w:bottom w:w="100" w:type="dxa"/>
              <w:right w:w="100" w:type="dxa"/>
            </w:tcMar>
          </w:tcPr>
          <w:p w14:paraId="36DC5B3E" w14:textId="77777777" w:rsidR="00DD0898" w:rsidRDefault="007E3F6F">
            <w:pPr>
              <w:widowControl w:val="0"/>
              <w:spacing w:line="240" w:lineRule="auto"/>
            </w:pPr>
            <w:r>
              <w:t xml:space="preserve">Female Faculty of Color </w:t>
            </w:r>
          </w:p>
        </w:tc>
        <w:tc>
          <w:tcPr>
            <w:tcW w:w="2790" w:type="dxa"/>
            <w:shd w:val="clear" w:color="auto" w:fill="auto"/>
            <w:tcMar>
              <w:top w:w="100" w:type="dxa"/>
              <w:left w:w="100" w:type="dxa"/>
              <w:bottom w:w="100" w:type="dxa"/>
              <w:right w:w="100" w:type="dxa"/>
            </w:tcMar>
          </w:tcPr>
          <w:p w14:paraId="3EA51D1C" w14:textId="77777777" w:rsidR="00DD0898" w:rsidRDefault="007E3F6F">
            <w:pPr>
              <w:widowControl w:val="0"/>
              <w:spacing w:line="240" w:lineRule="auto"/>
              <w:jc w:val="center"/>
            </w:pPr>
            <w:r>
              <w:t>94 / 56.6%</w:t>
            </w:r>
          </w:p>
        </w:tc>
        <w:tc>
          <w:tcPr>
            <w:tcW w:w="1530" w:type="dxa"/>
            <w:shd w:val="clear" w:color="auto" w:fill="auto"/>
            <w:tcMar>
              <w:top w:w="100" w:type="dxa"/>
              <w:left w:w="100" w:type="dxa"/>
              <w:bottom w:w="100" w:type="dxa"/>
              <w:right w:w="100" w:type="dxa"/>
            </w:tcMar>
          </w:tcPr>
          <w:p w14:paraId="5F5A8EDD" w14:textId="77777777" w:rsidR="00DD0898" w:rsidRDefault="007E3F6F">
            <w:pPr>
              <w:widowControl w:val="0"/>
              <w:spacing w:line="240" w:lineRule="auto"/>
              <w:jc w:val="center"/>
            </w:pPr>
            <w:r>
              <w:t>34 / 43.6%</w:t>
            </w:r>
          </w:p>
        </w:tc>
        <w:tc>
          <w:tcPr>
            <w:tcW w:w="1860" w:type="dxa"/>
            <w:shd w:val="clear" w:color="auto" w:fill="auto"/>
            <w:tcMar>
              <w:top w:w="100" w:type="dxa"/>
              <w:left w:w="100" w:type="dxa"/>
              <w:bottom w:w="100" w:type="dxa"/>
              <w:right w:w="100" w:type="dxa"/>
            </w:tcMar>
          </w:tcPr>
          <w:p w14:paraId="3027B05E" w14:textId="77777777" w:rsidR="00DD0898" w:rsidRDefault="007E3F6F">
            <w:pPr>
              <w:widowControl w:val="0"/>
              <w:spacing w:line="240" w:lineRule="auto"/>
              <w:jc w:val="center"/>
            </w:pPr>
            <w:r>
              <w:t>60 / 68.2%</w:t>
            </w:r>
          </w:p>
        </w:tc>
      </w:tr>
      <w:tr w:rsidR="00DD0898" w14:paraId="186D905E" w14:textId="77777777" w:rsidTr="008A3FCB">
        <w:trPr>
          <w:jc w:val="center"/>
        </w:trPr>
        <w:tc>
          <w:tcPr>
            <w:tcW w:w="2805" w:type="dxa"/>
            <w:shd w:val="clear" w:color="auto" w:fill="auto"/>
            <w:tcMar>
              <w:top w:w="100" w:type="dxa"/>
              <w:left w:w="100" w:type="dxa"/>
              <w:bottom w:w="100" w:type="dxa"/>
              <w:right w:w="100" w:type="dxa"/>
            </w:tcMar>
          </w:tcPr>
          <w:p w14:paraId="5E63CC08" w14:textId="77777777" w:rsidR="00DD0898" w:rsidRDefault="007E3F6F">
            <w:pPr>
              <w:widowControl w:val="0"/>
              <w:spacing w:line="240" w:lineRule="auto"/>
            </w:pPr>
            <w:r>
              <w:t>Totals</w:t>
            </w:r>
          </w:p>
        </w:tc>
        <w:tc>
          <w:tcPr>
            <w:tcW w:w="2790" w:type="dxa"/>
            <w:shd w:val="clear" w:color="auto" w:fill="auto"/>
            <w:tcMar>
              <w:top w:w="100" w:type="dxa"/>
              <w:left w:w="100" w:type="dxa"/>
              <w:bottom w:w="100" w:type="dxa"/>
              <w:right w:w="100" w:type="dxa"/>
            </w:tcMar>
          </w:tcPr>
          <w:p w14:paraId="35972F0A" w14:textId="77777777" w:rsidR="00DD0898" w:rsidRDefault="007E3F6F">
            <w:pPr>
              <w:widowControl w:val="0"/>
              <w:spacing w:line="240" w:lineRule="auto"/>
              <w:jc w:val="center"/>
            </w:pPr>
            <w:r>
              <w:t>166 / 100%</w:t>
            </w:r>
          </w:p>
        </w:tc>
        <w:tc>
          <w:tcPr>
            <w:tcW w:w="1530" w:type="dxa"/>
            <w:shd w:val="clear" w:color="auto" w:fill="auto"/>
            <w:tcMar>
              <w:top w:w="100" w:type="dxa"/>
              <w:left w:w="100" w:type="dxa"/>
              <w:bottom w:w="100" w:type="dxa"/>
              <w:right w:w="100" w:type="dxa"/>
            </w:tcMar>
          </w:tcPr>
          <w:p w14:paraId="03F46E33" w14:textId="77777777" w:rsidR="00DD0898" w:rsidRDefault="007E3F6F">
            <w:pPr>
              <w:widowControl w:val="0"/>
              <w:spacing w:line="240" w:lineRule="auto"/>
              <w:jc w:val="center"/>
            </w:pPr>
            <w:r>
              <w:t>78 / 100%</w:t>
            </w:r>
          </w:p>
        </w:tc>
        <w:tc>
          <w:tcPr>
            <w:tcW w:w="1860" w:type="dxa"/>
            <w:shd w:val="clear" w:color="auto" w:fill="auto"/>
            <w:tcMar>
              <w:top w:w="100" w:type="dxa"/>
              <w:left w:w="100" w:type="dxa"/>
              <w:bottom w:w="100" w:type="dxa"/>
              <w:right w:w="100" w:type="dxa"/>
            </w:tcMar>
          </w:tcPr>
          <w:p w14:paraId="53344CA7" w14:textId="77777777" w:rsidR="00DD0898" w:rsidRDefault="007E3F6F">
            <w:pPr>
              <w:widowControl w:val="0"/>
              <w:spacing w:line="240" w:lineRule="auto"/>
              <w:jc w:val="center"/>
            </w:pPr>
            <w:r>
              <w:t>88 / 100%</w:t>
            </w:r>
          </w:p>
        </w:tc>
      </w:tr>
    </w:tbl>
    <w:p w14:paraId="3E4816A1" w14:textId="77777777" w:rsidR="00DD0898" w:rsidRDefault="00DD0898">
      <w:pPr>
        <w:widowControl w:val="0"/>
        <w:spacing w:line="240" w:lineRule="auto"/>
      </w:pPr>
    </w:p>
    <w:p w14:paraId="6E98E5F8" w14:textId="77777777" w:rsidR="00DD0898" w:rsidRDefault="007E3F6F">
      <w:pPr>
        <w:widowControl w:val="0"/>
        <w:spacing w:line="240" w:lineRule="auto"/>
      </w:pPr>
      <w:r>
        <w:lastRenderedPageBreak/>
        <w:t xml:space="preserve">Although race and ethnicity affects the tenure-eligibility of female faculty, the inequalities are far less substantial. </w:t>
      </w:r>
    </w:p>
    <w:p w14:paraId="7ABB3FDE" w14:textId="77777777" w:rsidR="00DD0898" w:rsidRDefault="00DD0898">
      <w:pPr>
        <w:widowControl w:val="0"/>
        <w:spacing w:line="240" w:lineRule="auto"/>
      </w:pPr>
    </w:p>
    <w:tbl>
      <w:tblPr>
        <w:tblStyle w:val="a1"/>
        <w:tblW w:w="94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0"/>
        <w:gridCol w:w="2400"/>
        <w:gridCol w:w="1965"/>
        <w:gridCol w:w="1950"/>
      </w:tblGrid>
      <w:tr w:rsidR="008A3FCB" w14:paraId="7661D381" w14:textId="77777777" w:rsidTr="008A3FCB">
        <w:trPr>
          <w:jc w:val="center"/>
        </w:trPr>
        <w:tc>
          <w:tcPr>
            <w:tcW w:w="9495" w:type="dxa"/>
            <w:gridSpan w:val="4"/>
            <w:shd w:val="clear" w:color="auto" w:fill="auto"/>
            <w:tcMar>
              <w:top w:w="100" w:type="dxa"/>
              <w:left w:w="100" w:type="dxa"/>
              <w:bottom w:w="100" w:type="dxa"/>
              <w:right w:w="100" w:type="dxa"/>
            </w:tcMar>
          </w:tcPr>
          <w:p w14:paraId="7C8E33B0" w14:textId="77777777" w:rsidR="008A3FCB" w:rsidRPr="008A3FCB" w:rsidRDefault="008A3FCB">
            <w:pPr>
              <w:widowControl w:val="0"/>
              <w:spacing w:line="240" w:lineRule="auto"/>
              <w:jc w:val="center"/>
              <w:rPr>
                <w:b/>
              </w:rPr>
            </w:pPr>
            <w:r w:rsidRPr="008A3FCB">
              <w:rPr>
                <w:b/>
              </w:rPr>
              <w:t>2017 Female Faculty by Race and Tenure Eligibility</w:t>
            </w:r>
          </w:p>
        </w:tc>
      </w:tr>
      <w:tr w:rsidR="00DD0898" w14:paraId="0B7A0F6C" w14:textId="77777777" w:rsidTr="008A3FCB">
        <w:trPr>
          <w:jc w:val="center"/>
        </w:trPr>
        <w:tc>
          <w:tcPr>
            <w:tcW w:w="3180" w:type="dxa"/>
            <w:shd w:val="clear" w:color="auto" w:fill="auto"/>
            <w:tcMar>
              <w:top w:w="100" w:type="dxa"/>
              <w:left w:w="100" w:type="dxa"/>
              <w:bottom w:w="100" w:type="dxa"/>
              <w:right w:w="100" w:type="dxa"/>
            </w:tcMar>
          </w:tcPr>
          <w:p w14:paraId="21FC03B6" w14:textId="77777777" w:rsidR="00DD0898" w:rsidRDefault="00DD0898">
            <w:pPr>
              <w:widowControl w:val="0"/>
              <w:spacing w:line="240" w:lineRule="auto"/>
              <w:ind w:left="720"/>
            </w:pPr>
          </w:p>
        </w:tc>
        <w:tc>
          <w:tcPr>
            <w:tcW w:w="2400" w:type="dxa"/>
            <w:shd w:val="clear" w:color="auto" w:fill="auto"/>
            <w:tcMar>
              <w:top w:w="100" w:type="dxa"/>
              <w:left w:w="100" w:type="dxa"/>
              <w:bottom w:w="100" w:type="dxa"/>
              <w:right w:w="100" w:type="dxa"/>
            </w:tcMar>
          </w:tcPr>
          <w:p w14:paraId="5C271CBB" w14:textId="77777777" w:rsidR="00DD0898" w:rsidRDefault="007E3F6F">
            <w:pPr>
              <w:widowControl w:val="0"/>
              <w:spacing w:line="240" w:lineRule="auto"/>
              <w:jc w:val="center"/>
            </w:pPr>
            <w:r>
              <w:t>Total FT Faculty</w:t>
            </w:r>
          </w:p>
        </w:tc>
        <w:tc>
          <w:tcPr>
            <w:tcW w:w="1965" w:type="dxa"/>
            <w:shd w:val="clear" w:color="auto" w:fill="auto"/>
            <w:tcMar>
              <w:top w:w="100" w:type="dxa"/>
              <w:left w:w="100" w:type="dxa"/>
              <w:bottom w:w="100" w:type="dxa"/>
              <w:right w:w="100" w:type="dxa"/>
            </w:tcMar>
          </w:tcPr>
          <w:p w14:paraId="638613F0" w14:textId="77777777" w:rsidR="00DD0898" w:rsidRDefault="007E3F6F">
            <w:pPr>
              <w:widowControl w:val="0"/>
              <w:spacing w:line="240" w:lineRule="auto"/>
              <w:jc w:val="center"/>
            </w:pPr>
            <w:r>
              <w:t>TT Faculty</w:t>
            </w:r>
          </w:p>
        </w:tc>
        <w:tc>
          <w:tcPr>
            <w:tcW w:w="1950" w:type="dxa"/>
            <w:shd w:val="clear" w:color="auto" w:fill="auto"/>
            <w:tcMar>
              <w:top w:w="100" w:type="dxa"/>
              <w:left w:w="100" w:type="dxa"/>
              <w:bottom w:w="100" w:type="dxa"/>
              <w:right w:w="100" w:type="dxa"/>
            </w:tcMar>
          </w:tcPr>
          <w:p w14:paraId="29B7CE82" w14:textId="77777777" w:rsidR="00DD0898" w:rsidRDefault="007E3F6F">
            <w:pPr>
              <w:widowControl w:val="0"/>
              <w:spacing w:line="240" w:lineRule="auto"/>
              <w:jc w:val="center"/>
            </w:pPr>
            <w:r>
              <w:t>NTT Faculty</w:t>
            </w:r>
          </w:p>
        </w:tc>
      </w:tr>
      <w:tr w:rsidR="00DD0898" w14:paraId="703DDF43" w14:textId="77777777" w:rsidTr="008A3FCB">
        <w:trPr>
          <w:jc w:val="center"/>
        </w:trPr>
        <w:tc>
          <w:tcPr>
            <w:tcW w:w="3180" w:type="dxa"/>
            <w:shd w:val="clear" w:color="auto" w:fill="auto"/>
            <w:tcMar>
              <w:top w:w="100" w:type="dxa"/>
              <w:left w:w="100" w:type="dxa"/>
              <w:bottom w:w="100" w:type="dxa"/>
              <w:right w:w="100" w:type="dxa"/>
            </w:tcMar>
          </w:tcPr>
          <w:p w14:paraId="64AE4C91" w14:textId="77777777" w:rsidR="00DD0898" w:rsidRDefault="007E3F6F">
            <w:pPr>
              <w:widowControl w:val="0"/>
              <w:spacing w:line="240" w:lineRule="auto"/>
            </w:pPr>
            <w:r>
              <w:t xml:space="preserve">White Female </w:t>
            </w:r>
          </w:p>
        </w:tc>
        <w:tc>
          <w:tcPr>
            <w:tcW w:w="2400" w:type="dxa"/>
            <w:shd w:val="clear" w:color="auto" w:fill="auto"/>
            <w:tcMar>
              <w:top w:w="100" w:type="dxa"/>
              <w:left w:w="100" w:type="dxa"/>
              <w:bottom w:w="100" w:type="dxa"/>
              <w:right w:w="100" w:type="dxa"/>
            </w:tcMar>
          </w:tcPr>
          <w:p w14:paraId="0DBC4892" w14:textId="77777777" w:rsidR="00DD0898" w:rsidRDefault="007E3F6F">
            <w:pPr>
              <w:widowControl w:val="0"/>
              <w:spacing w:line="240" w:lineRule="auto"/>
              <w:jc w:val="center"/>
            </w:pPr>
            <w:r>
              <w:t>451 / 78.6%</w:t>
            </w:r>
          </w:p>
        </w:tc>
        <w:tc>
          <w:tcPr>
            <w:tcW w:w="1965" w:type="dxa"/>
            <w:shd w:val="clear" w:color="auto" w:fill="auto"/>
            <w:tcMar>
              <w:top w:w="100" w:type="dxa"/>
              <w:left w:w="100" w:type="dxa"/>
              <w:bottom w:w="100" w:type="dxa"/>
              <w:right w:w="100" w:type="dxa"/>
            </w:tcMar>
          </w:tcPr>
          <w:p w14:paraId="0B38C01D" w14:textId="77777777" w:rsidR="00DD0898" w:rsidRDefault="007E3F6F">
            <w:pPr>
              <w:widowControl w:val="0"/>
              <w:spacing w:line="240" w:lineRule="auto"/>
              <w:jc w:val="center"/>
            </w:pPr>
            <w:r>
              <w:t>174 / 79.1%</w:t>
            </w:r>
          </w:p>
        </w:tc>
        <w:tc>
          <w:tcPr>
            <w:tcW w:w="1950" w:type="dxa"/>
            <w:shd w:val="clear" w:color="auto" w:fill="auto"/>
            <w:tcMar>
              <w:top w:w="100" w:type="dxa"/>
              <w:left w:w="100" w:type="dxa"/>
              <w:bottom w:w="100" w:type="dxa"/>
              <w:right w:w="100" w:type="dxa"/>
            </w:tcMar>
          </w:tcPr>
          <w:p w14:paraId="1B2EDF6B" w14:textId="77777777" w:rsidR="00DD0898" w:rsidRDefault="007E3F6F">
            <w:pPr>
              <w:widowControl w:val="0"/>
              <w:spacing w:line="240" w:lineRule="auto"/>
              <w:jc w:val="center"/>
            </w:pPr>
            <w:r>
              <w:t>277 / 78.2%</w:t>
            </w:r>
          </w:p>
        </w:tc>
      </w:tr>
      <w:tr w:rsidR="00DD0898" w14:paraId="40B4CC8B" w14:textId="77777777" w:rsidTr="008A3FCB">
        <w:trPr>
          <w:jc w:val="center"/>
        </w:trPr>
        <w:tc>
          <w:tcPr>
            <w:tcW w:w="3180" w:type="dxa"/>
            <w:shd w:val="clear" w:color="auto" w:fill="auto"/>
            <w:tcMar>
              <w:top w:w="100" w:type="dxa"/>
              <w:left w:w="100" w:type="dxa"/>
              <w:bottom w:w="100" w:type="dxa"/>
              <w:right w:w="100" w:type="dxa"/>
            </w:tcMar>
          </w:tcPr>
          <w:p w14:paraId="10AB13EA" w14:textId="77777777" w:rsidR="00DD0898" w:rsidRDefault="007E3F6F">
            <w:pPr>
              <w:widowControl w:val="0"/>
              <w:spacing w:line="240" w:lineRule="auto"/>
            </w:pPr>
            <w:r>
              <w:t xml:space="preserve">Female Faculty of Color </w:t>
            </w:r>
          </w:p>
        </w:tc>
        <w:tc>
          <w:tcPr>
            <w:tcW w:w="2400" w:type="dxa"/>
            <w:shd w:val="clear" w:color="auto" w:fill="auto"/>
            <w:tcMar>
              <w:top w:w="100" w:type="dxa"/>
              <w:left w:w="100" w:type="dxa"/>
              <w:bottom w:w="100" w:type="dxa"/>
              <w:right w:w="100" w:type="dxa"/>
            </w:tcMar>
          </w:tcPr>
          <w:p w14:paraId="0E27B42E" w14:textId="77777777" w:rsidR="00DD0898" w:rsidRDefault="007E3F6F">
            <w:pPr>
              <w:widowControl w:val="0"/>
              <w:spacing w:line="240" w:lineRule="auto"/>
              <w:jc w:val="center"/>
            </w:pPr>
            <w:r>
              <w:t>94 / 16.4%</w:t>
            </w:r>
          </w:p>
        </w:tc>
        <w:tc>
          <w:tcPr>
            <w:tcW w:w="1965" w:type="dxa"/>
            <w:shd w:val="clear" w:color="auto" w:fill="auto"/>
            <w:tcMar>
              <w:top w:w="100" w:type="dxa"/>
              <w:left w:w="100" w:type="dxa"/>
              <w:bottom w:w="100" w:type="dxa"/>
              <w:right w:w="100" w:type="dxa"/>
            </w:tcMar>
          </w:tcPr>
          <w:p w14:paraId="2437F6B8" w14:textId="77777777" w:rsidR="00DD0898" w:rsidRDefault="007E3F6F">
            <w:pPr>
              <w:widowControl w:val="0"/>
              <w:spacing w:line="240" w:lineRule="auto"/>
              <w:jc w:val="center"/>
            </w:pPr>
            <w:r>
              <w:t>34 / 15.5%</w:t>
            </w:r>
          </w:p>
        </w:tc>
        <w:tc>
          <w:tcPr>
            <w:tcW w:w="1950" w:type="dxa"/>
            <w:shd w:val="clear" w:color="auto" w:fill="auto"/>
            <w:tcMar>
              <w:top w:w="100" w:type="dxa"/>
              <w:left w:w="100" w:type="dxa"/>
              <w:bottom w:w="100" w:type="dxa"/>
              <w:right w:w="100" w:type="dxa"/>
            </w:tcMar>
          </w:tcPr>
          <w:p w14:paraId="1200B88E" w14:textId="77777777" w:rsidR="00DD0898" w:rsidRDefault="007E3F6F">
            <w:pPr>
              <w:widowControl w:val="0"/>
              <w:spacing w:line="240" w:lineRule="auto"/>
              <w:jc w:val="center"/>
            </w:pPr>
            <w:r>
              <w:t>60 / 16.9%</w:t>
            </w:r>
          </w:p>
        </w:tc>
      </w:tr>
    </w:tbl>
    <w:p w14:paraId="7317C9BC" w14:textId="77777777" w:rsidR="00DD0898" w:rsidRDefault="00DD0898">
      <w:pPr>
        <w:widowControl w:val="0"/>
        <w:spacing w:line="240" w:lineRule="auto"/>
      </w:pPr>
    </w:p>
    <w:p w14:paraId="72A317F2" w14:textId="77777777" w:rsidR="00DD0898" w:rsidRDefault="007E3F6F">
      <w:pPr>
        <w:widowControl w:val="0"/>
        <w:spacing w:line="240" w:lineRule="auto"/>
      </w:pPr>
      <w:r>
        <w:t xml:space="preserve">Comparing the breakdown of 2017 female faculty by tenure eligibility shows that women of color are more likely to be NTT whereas white women are more likely to be TT or PT.  Of the 702 white female faculty, 174 (24.8%) were TT, 223 (31.8%) were NTT, and 305 (43.4%) were PT. Of the 158 female faculty of color,  34 (21.5%) were TT, 60 (38%) were NTT, and 64 (40.5%) were PT. </w:t>
      </w:r>
    </w:p>
    <w:p w14:paraId="75DA996B" w14:textId="77777777" w:rsidR="00DD0898" w:rsidRDefault="00DD0898">
      <w:pPr>
        <w:widowControl w:val="0"/>
        <w:spacing w:line="240" w:lineRule="auto"/>
        <w:rPr>
          <w:sz w:val="12"/>
          <w:szCs w:val="12"/>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D0898" w14:paraId="711D4189" w14:textId="77777777">
        <w:trPr>
          <w:trHeight w:val="2880"/>
        </w:trPr>
        <w:tc>
          <w:tcPr>
            <w:tcW w:w="5400" w:type="dxa"/>
            <w:tcBorders>
              <w:top w:val="nil"/>
              <w:left w:val="nil"/>
              <w:bottom w:val="nil"/>
              <w:right w:val="nil"/>
            </w:tcBorders>
            <w:shd w:val="clear" w:color="auto" w:fill="auto"/>
            <w:tcMar>
              <w:top w:w="100" w:type="dxa"/>
              <w:left w:w="100" w:type="dxa"/>
              <w:bottom w:w="100" w:type="dxa"/>
              <w:right w:w="100" w:type="dxa"/>
            </w:tcMar>
          </w:tcPr>
          <w:p w14:paraId="5E3C9D79" w14:textId="77777777" w:rsidR="00DD0898" w:rsidRDefault="007E3F6F">
            <w:pPr>
              <w:widowControl w:val="0"/>
              <w:pBdr>
                <w:top w:val="nil"/>
                <w:left w:val="nil"/>
                <w:bottom w:val="nil"/>
                <w:right w:val="nil"/>
                <w:between w:val="nil"/>
              </w:pBdr>
              <w:spacing w:line="240" w:lineRule="auto"/>
              <w:jc w:val="center"/>
            </w:pPr>
            <w:r>
              <w:rPr>
                <w:noProof/>
                <w:lang w:val="en-US"/>
              </w:rPr>
              <w:drawing>
                <wp:inline distT="114300" distB="114300" distL="114300" distR="114300" wp14:anchorId="578DD87F" wp14:editId="77B7673C">
                  <wp:extent cx="3186113" cy="1643849"/>
                  <wp:effectExtent l="25400" t="25400" r="25400" b="2540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3186113" cy="1643849"/>
                          </a:xfrm>
                          <a:prstGeom prst="rect">
                            <a:avLst/>
                          </a:prstGeom>
                          <a:ln w="25400">
                            <a:solidFill>
                              <a:srgbClr val="000000"/>
                            </a:solidFill>
                            <a:prstDash val="solid"/>
                          </a:ln>
                        </pic:spPr>
                      </pic:pic>
                    </a:graphicData>
                  </a:graphic>
                </wp:inline>
              </w:drawing>
            </w:r>
          </w:p>
        </w:tc>
        <w:tc>
          <w:tcPr>
            <w:tcW w:w="5400" w:type="dxa"/>
            <w:tcBorders>
              <w:top w:val="nil"/>
              <w:left w:val="nil"/>
              <w:bottom w:val="nil"/>
              <w:right w:val="nil"/>
            </w:tcBorders>
            <w:shd w:val="clear" w:color="auto" w:fill="auto"/>
            <w:tcMar>
              <w:top w:w="100" w:type="dxa"/>
              <w:left w:w="100" w:type="dxa"/>
              <w:bottom w:w="100" w:type="dxa"/>
              <w:right w:w="100" w:type="dxa"/>
            </w:tcMar>
          </w:tcPr>
          <w:p w14:paraId="567211AF" w14:textId="77777777" w:rsidR="00DD0898" w:rsidRDefault="007E3F6F">
            <w:pPr>
              <w:widowControl w:val="0"/>
              <w:pBdr>
                <w:top w:val="nil"/>
                <w:left w:val="nil"/>
                <w:bottom w:val="nil"/>
                <w:right w:val="nil"/>
                <w:between w:val="nil"/>
              </w:pBdr>
              <w:spacing w:line="240" w:lineRule="auto"/>
            </w:pPr>
            <w:r>
              <w:rPr>
                <w:noProof/>
                <w:lang w:val="en-US"/>
              </w:rPr>
              <w:drawing>
                <wp:inline distT="114300" distB="114300" distL="114300" distR="114300" wp14:anchorId="5200669A" wp14:editId="746CFAE2">
                  <wp:extent cx="3295650" cy="1651000"/>
                  <wp:effectExtent l="25400" t="25400" r="25400" b="2540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3295650" cy="1651000"/>
                          </a:xfrm>
                          <a:prstGeom prst="rect">
                            <a:avLst/>
                          </a:prstGeom>
                          <a:ln w="25400">
                            <a:solidFill>
                              <a:srgbClr val="000000"/>
                            </a:solidFill>
                            <a:prstDash val="solid"/>
                          </a:ln>
                        </pic:spPr>
                      </pic:pic>
                    </a:graphicData>
                  </a:graphic>
                </wp:inline>
              </w:drawing>
            </w:r>
          </w:p>
        </w:tc>
      </w:tr>
    </w:tbl>
    <w:p w14:paraId="0A68123E" w14:textId="77777777" w:rsidR="00DD0898" w:rsidRDefault="007E3F6F">
      <w:pPr>
        <w:widowControl w:val="0"/>
        <w:spacing w:line="240" w:lineRule="auto"/>
        <w:jc w:val="both"/>
        <w:rPr>
          <w:sz w:val="12"/>
          <w:szCs w:val="12"/>
        </w:rPr>
      </w:pPr>
      <w:r>
        <w:t xml:space="preserve">It would seem, then, that gender is far more responsible for pay inequalities than race. </w:t>
      </w:r>
    </w:p>
    <w:p w14:paraId="55909689" w14:textId="77777777" w:rsidR="00DD0898" w:rsidRDefault="00DD0898">
      <w:pPr>
        <w:widowControl w:val="0"/>
        <w:spacing w:line="240" w:lineRule="auto"/>
      </w:pPr>
    </w:p>
    <w:p w14:paraId="26EBE096" w14:textId="77777777" w:rsidR="00DD0898" w:rsidRDefault="00DD0898">
      <w:pPr>
        <w:widowControl w:val="0"/>
        <w:spacing w:line="240" w:lineRule="auto"/>
      </w:pPr>
    </w:p>
    <w:p w14:paraId="421393AA" w14:textId="77777777" w:rsidR="00DD0898" w:rsidRDefault="007E3F6F">
      <w:pPr>
        <w:jc w:val="both"/>
        <w:rPr>
          <w:b/>
        </w:rPr>
      </w:pPr>
      <w:r>
        <w:rPr>
          <w:b/>
        </w:rPr>
        <w:t>FINDINGS: SALARY INDEX</w:t>
      </w:r>
    </w:p>
    <w:p w14:paraId="0414AAF1" w14:textId="77777777" w:rsidR="00DD0898" w:rsidRDefault="00C425DC">
      <w:pPr>
        <w:jc w:val="both"/>
        <w:rPr>
          <w:b/>
        </w:rPr>
      </w:pPr>
      <w:r>
        <w:pict w14:anchorId="13E1A13F">
          <v:rect id="_x0000_i1026" style="width:0;height:1.5pt" o:hralign="center" o:hrstd="t" o:hr="t" fillcolor="#a0a0a0" stroked="f"/>
        </w:pict>
      </w:r>
    </w:p>
    <w:p w14:paraId="27EE8C49" w14:textId="77777777" w:rsidR="00DD0898" w:rsidRDefault="007E3F6F">
      <w:pPr>
        <w:jc w:val="both"/>
      </w:pPr>
      <w:r>
        <w:t>The statistics above have limitations. For one, they do not allow us to consider the impact of pay differences by discipline. However, using the “Uni</w:t>
      </w:r>
      <w:r w:rsidR="008A3FCB">
        <w:t>versity Salary Appendix” at the</w:t>
      </w:r>
      <w:r>
        <w:t xml:space="preserve"> end of the FY 2019 NAU Budget Book,</w:t>
      </w:r>
      <w:r>
        <w:rPr>
          <w:vertAlign w:val="superscript"/>
        </w:rPr>
        <w:footnoteReference w:id="6"/>
      </w:r>
      <w:r>
        <w:t xml:space="preserve"> we were able to provide more detailed data about faculty salaries by rank, college, and department. </w:t>
      </w:r>
    </w:p>
    <w:p w14:paraId="058890DC" w14:textId="77777777" w:rsidR="00DD0898" w:rsidRDefault="00DD0898">
      <w:pPr>
        <w:jc w:val="both"/>
      </w:pPr>
    </w:p>
    <w:p w14:paraId="6329EE35" w14:textId="77777777" w:rsidR="00DD0898" w:rsidRDefault="007E3F6F">
      <w:pPr>
        <w:jc w:val="both"/>
      </w:pPr>
      <w:r>
        <w:t xml:space="preserve">We first converted the document into an Excel spreadsheet and sorted on the column “Title.” After removing faculty with “Chair” or “Director” in their title, we were left with the following breakdown. </w:t>
      </w:r>
    </w:p>
    <w:p w14:paraId="5AA4607D" w14:textId="77777777" w:rsidR="00DD0898" w:rsidRDefault="00DD0898">
      <w:pPr>
        <w:jc w:val="both"/>
        <w:rPr>
          <w:sz w:val="12"/>
          <w:szCs w:val="12"/>
        </w:rPr>
      </w:pPr>
    </w:p>
    <w:p w14:paraId="6F167133" w14:textId="77777777" w:rsidR="00DD0898" w:rsidRDefault="007E3F6F">
      <w:pPr>
        <w:jc w:val="center"/>
      </w:pPr>
      <w:r>
        <w:rPr>
          <w:b/>
          <w:noProof/>
          <w:lang w:val="en-US"/>
        </w:rPr>
        <w:lastRenderedPageBreak/>
        <w:drawing>
          <wp:inline distT="114300" distB="114300" distL="114300" distR="114300" wp14:anchorId="51F3AC27" wp14:editId="0C202BD6">
            <wp:extent cx="4691063" cy="4012949"/>
            <wp:effectExtent l="25400" t="25400" r="25400" b="25400"/>
            <wp:docPr id="2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3"/>
                    <a:srcRect/>
                    <a:stretch>
                      <a:fillRect/>
                    </a:stretch>
                  </pic:blipFill>
                  <pic:spPr>
                    <a:xfrm>
                      <a:off x="0" y="0"/>
                      <a:ext cx="4691063" cy="4012949"/>
                    </a:xfrm>
                    <a:prstGeom prst="rect">
                      <a:avLst/>
                    </a:prstGeom>
                    <a:ln w="25400">
                      <a:solidFill>
                        <a:srgbClr val="000000"/>
                      </a:solidFill>
                      <a:prstDash val="solid"/>
                    </a:ln>
                  </pic:spPr>
                </pic:pic>
              </a:graphicData>
            </a:graphic>
          </wp:inline>
        </w:drawing>
      </w:r>
      <w:r>
        <w:tab/>
      </w:r>
    </w:p>
    <w:p w14:paraId="4B01B0E8" w14:textId="77777777" w:rsidR="00DD0898" w:rsidRDefault="00DD0898">
      <w:pPr>
        <w:jc w:val="both"/>
        <w:rPr>
          <w:sz w:val="12"/>
          <w:szCs w:val="12"/>
        </w:rPr>
      </w:pPr>
    </w:p>
    <w:p w14:paraId="1AEC8608" w14:textId="77777777" w:rsidR="00DD0898" w:rsidRDefault="007E3F6F">
      <w:pPr>
        <w:jc w:val="both"/>
      </w:pPr>
      <w:r>
        <w:t xml:space="preserve">Assuming that the FY19 budget is roughly equivalent to FY18 numbers, we can see that the appendix is missing a considerable number of faculty, primarily because </w:t>
      </w:r>
      <w:r>
        <w:rPr>
          <w:b/>
        </w:rPr>
        <w:t>the salary appendix does not include faculty who are paid out of CIF (Central Instructional Funding) money</w:t>
      </w:r>
      <w:r>
        <w:t>. For example, while the appendix lists only 84 senior lecturers and 92 lecturers, NAU’s IRA Quick Facts for 2018 suggests that these totals should be 92 and 200, respectively. This is one reason why relying on the University Salary Appendix for these calculations is problematic.</w:t>
      </w:r>
    </w:p>
    <w:p w14:paraId="7EDE9AE6" w14:textId="77777777" w:rsidR="00DD0898" w:rsidRDefault="00DD0898">
      <w:pPr>
        <w:jc w:val="both"/>
      </w:pPr>
    </w:p>
    <w:p w14:paraId="3CE95A06" w14:textId="77777777" w:rsidR="00DD0898" w:rsidRDefault="007E3F6F">
      <w:pPr>
        <w:jc w:val="both"/>
      </w:pPr>
      <w:r>
        <w:t xml:space="preserve">Using the salaries in the Appendix is additionally problematic because </w:t>
      </w:r>
      <w:r>
        <w:rPr>
          <w:b/>
        </w:rPr>
        <w:t>the appendix does not indicate if salaries are for 9-, 10-, 11-, or 12-month contracts</w:t>
      </w:r>
      <w:r>
        <w:t xml:space="preserve">. Associate chairs, for example, are frequently on greater than 9-month contracts, but without that contextual information, their salary would appear to be substantially higher than their peers. However, information available through IPEDS shows that </w:t>
      </w:r>
      <w:r>
        <w:rPr>
          <w:b/>
        </w:rPr>
        <w:t>women are more likely to be on greater than 9-month contracts</w:t>
      </w:r>
      <w:r>
        <w:t xml:space="preserve">. In Fall 2017, 55 men had greater than 9-month contracts compared to 64 women. Therefore, if anything, the following data will be skewed such that it will reveal less inequality than actually exists since the salaries of women are more likely to be unduly inflated by length of contract. </w:t>
      </w:r>
    </w:p>
    <w:p w14:paraId="5F2F6461" w14:textId="77777777" w:rsidR="00DD0898" w:rsidRDefault="00DD0898">
      <w:pPr>
        <w:jc w:val="both"/>
      </w:pPr>
    </w:p>
    <w:p w14:paraId="382AD307" w14:textId="77777777" w:rsidR="00DD0898" w:rsidRDefault="007E3F6F">
      <w:pPr>
        <w:jc w:val="both"/>
      </w:pPr>
      <w:r>
        <w:t xml:space="preserve">We first adjusted salaries for faculty who were not 100% FTE. If a faculty member had two .50 FTE lines from different departments, we calculated his/her salary by adding those two lines together. For faculty working less than full-time, we used their part-time salary to calculate their full-time rate. For example, we calculated that a faculty member making $56,576 for .60 FTE would have a full-time salary of $94,293. We then sorted all full-time faculty by rank and gender, excluding chairs and directors, in order to compare average salaries by rank and gender for titles with sufficiently large enough numbers for comparison: </w:t>
      </w:r>
    </w:p>
    <w:p w14:paraId="5DEE7BB3" w14:textId="77777777" w:rsidR="00DD0898" w:rsidRDefault="00DD0898">
      <w:pPr>
        <w:jc w:val="both"/>
        <w:rPr>
          <w:sz w:val="12"/>
          <w:szCs w:val="12"/>
        </w:rPr>
      </w:pPr>
    </w:p>
    <w:p w14:paraId="210C58CC" w14:textId="77777777" w:rsidR="00DD0898" w:rsidRDefault="007E3F6F">
      <w:pPr>
        <w:jc w:val="center"/>
      </w:pPr>
      <w:r>
        <w:rPr>
          <w:noProof/>
          <w:lang w:val="en-US"/>
        </w:rPr>
        <w:lastRenderedPageBreak/>
        <w:drawing>
          <wp:inline distT="114300" distB="114300" distL="114300" distR="114300" wp14:anchorId="493E7826" wp14:editId="7C94279D">
            <wp:extent cx="3796099" cy="5262563"/>
            <wp:effectExtent l="25400" t="25400" r="25400" b="2540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4"/>
                    <a:srcRect/>
                    <a:stretch>
                      <a:fillRect/>
                    </a:stretch>
                  </pic:blipFill>
                  <pic:spPr>
                    <a:xfrm>
                      <a:off x="0" y="0"/>
                      <a:ext cx="3796099" cy="5262563"/>
                    </a:xfrm>
                    <a:prstGeom prst="rect">
                      <a:avLst/>
                    </a:prstGeom>
                    <a:ln w="25400">
                      <a:solidFill>
                        <a:srgbClr val="000000"/>
                      </a:solidFill>
                      <a:prstDash val="solid"/>
                    </a:ln>
                  </pic:spPr>
                </pic:pic>
              </a:graphicData>
            </a:graphic>
          </wp:inline>
        </w:drawing>
      </w:r>
    </w:p>
    <w:p w14:paraId="71B74A9F" w14:textId="77777777" w:rsidR="00DD0898" w:rsidRDefault="00DD0898">
      <w:pPr>
        <w:jc w:val="both"/>
        <w:rPr>
          <w:sz w:val="12"/>
          <w:szCs w:val="12"/>
        </w:rPr>
      </w:pPr>
    </w:p>
    <w:p w14:paraId="1FB69EAA" w14:textId="77777777" w:rsidR="00DD0898" w:rsidRDefault="007E3F6F">
      <w:pPr>
        <w:jc w:val="both"/>
      </w:pPr>
      <w:r>
        <w:t>These calculations provide an incomplete picture because they do not take into consideration all full-time faculty, only those included in the University Salary Appendix. Furthermore, these figures do not consider time in rank. However, we do find it significant that disparity exists even at the lowest ranks, where, presumably, differences in time in rank should be negligible.</w:t>
      </w:r>
    </w:p>
    <w:p w14:paraId="3BF19EA0" w14:textId="77777777" w:rsidR="00DD0898" w:rsidRDefault="00DD0898">
      <w:pPr>
        <w:jc w:val="both"/>
      </w:pPr>
    </w:p>
    <w:p w14:paraId="3F5F22D0" w14:textId="77777777" w:rsidR="00DD0898" w:rsidRDefault="007E3F6F">
      <w:pPr>
        <w:jc w:val="both"/>
        <w:rPr>
          <w:b/>
        </w:rPr>
      </w:pPr>
      <w:r>
        <w:t xml:space="preserve">We recognize that comparing faculty across disciplines is problematic. Without having data that includes CIP code--which was part of our original request--we tried to account for these differences by calculating average salaries by college. We included chairs and directors in these calculations. As you can see, </w:t>
      </w:r>
      <w:r>
        <w:rPr>
          <w:b/>
        </w:rPr>
        <w:t>in every college, female faculty have a lower average salary than their male faculty. In fact, across colleges, the average difference is $9,914.</w:t>
      </w:r>
    </w:p>
    <w:p w14:paraId="3FC7525D" w14:textId="77777777" w:rsidR="00DD0898" w:rsidRDefault="00DD0898">
      <w:pPr>
        <w:jc w:val="both"/>
        <w:rPr>
          <w:b/>
          <w:sz w:val="12"/>
          <w:szCs w:val="12"/>
        </w:rPr>
      </w:pPr>
    </w:p>
    <w:p w14:paraId="5CAF9A97" w14:textId="77777777" w:rsidR="00DD0898" w:rsidRDefault="007E3F6F">
      <w:pPr>
        <w:jc w:val="center"/>
      </w:pPr>
      <w:r>
        <w:rPr>
          <w:noProof/>
          <w:lang w:val="en-US"/>
        </w:rPr>
        <w:lastRenderedPageBreak/>
        <w:drawing>
          <wp:inline distT="114300" distB="114300" distL="114300" distR="114300" wp14:anchorId="5AC09BC2" wp14:editId="2A2446B5">
            <wp:extent cx="5567363" cy="5598292"/>
            <wp:effectExtent l="25400" t="25400" r="25400" b="25400"/>
            <wp:docPr id="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a:stretch>
                      <a:fillRect/>
                    </a:stretch>
                  </pic:blipFill>
                  <pic:spPr>
                    <a:xfrm>
                      <a:off x="0" y="0"/>
                      <a:ext cx="5567363" cy="5598292"/>
                    </a:xfrm>
                    <a:prstGeom prst="rect">
                      <a:avLst/>
                    </a:prstGeom>
                    <a:ln w="25400">
                      <a:solidFill>
                        <a:srgbClr val="000000"/>
                      </a:solidFill>
                      <a:prstDash val="solid"/>
                    </a:ln>
                  </pic:spPr>
                </pic:pic>
              </a:graphicData>
            </a:graphic>
          </wp:inline>
        </w:drawing>
      </w:r>
    </w:p>
    <w:p w14:paraId="57CA86C5" w14:textId="77777777" w:rsidR="00DD0898" w:rsidRDefault="00DD0898">
      <w:pPr>
        <w:jc w:val="both"/>
        <w:rPr>
          <w:sz w:val="12"/>
          <w:szCs w:val="12"/>
        </w:rPr>
      </w:pPr>
    </w:p>
    <w:p w14:paraId="0FA10D55" w14:textId="77777777" w:rsidR="00DD0898" w:rsidRDefault="007E3F6F">
      <w:pPr>
        <w:jc w:val="both"/>
      </w:pPr>
      <w:r>
        <w:t xml:space="preserve">Again, we think that the likely cause for these gendered differences in average salaries within colleges is that female faculty are overrepresented in NTT lines. Although NTT and TT lines mean different things across colleges, as the following chart shows, regardless of college or rank, NTT lines have lower salaries than comparable TT lines. (Please note that we included lecturer, senior lecturer, and principal lecturer salaries in the NTT assistant, associate, and professor  averages, respectively. </w:t>
      </w:r>
    </w:p>
    <w:p w14:paraId="30894095" w14:textId="77777777" w:rsidR="00DD0898" w:rsidRDefault="007E3F6F">
      <w:pPr>
        <w:jc w:val="center"/>
      </w:pPr>
      <w:r>
        <w:rPr>
          <w:noProof/>
          <w:lang w:val="en-US"/>
        </w:rPr>
        <w:lastRenderedPageBreak/>
        <w:drawing>
          <wp:inline distT="114300" distB="114300" distL="114300" distR="114300" wp14:anchorId="4CB95071" wp14:editId="7C4FCBD9">
            <wp:extent cx="5510213" cy="7568889"/>
            <wp:effectExtent l="25400" t="25400" r="25400" b="25400"/>
            <wp:docPr id="1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6"/>
                    <a:srcRect/>
                    <a:stretch>
                      <a:fillRect/>
                    </a:stretch>
                  </pic:blipFill>
                  <pic:spPr>
                    <a:xfrm>
                      <a:off x="0" y="0"/>
                      <a:ext cx="5510213" cy="7568889"/>
                    </a:xfrm>
                    <a:prstGeom prst="rect">
                      <a:avLst/>
                    </a:prstGeom>
                    <a:ln w="25400">
                      <a:solidFill>
                        <a:srgbClr val="000000"/>
                      </a:solidFill>
                      <a:prstDash val="solid"/>
                    </a:ln>
                  </pic:spPr>
                </pic:pic>
              </a:graphicData>
            </a:graphic>
          </wp:inline>
        </w:drawing>
      </w:r>
    </w:p>
    <w:p w14:paraId="1C7F71A4" w14:textId="77777777" w:rsidR="00DD0898" w:rsidRDefault="00DD0898">
      <w:pPr>
        <w:jc w:val="both"/>
        <w:rPr>
          <w:sz w:val="12"/>
          <w:szCs w:val="12"/>
        </w:rPr>
      </w:pPr>
    </w:p>
    <w:p w14:paraId="60376E6D" w14:textId="77777777" w:rsidR="00DD0898" w:rsidRDefault="007E3F6F">
      <w:pPr>
        <w:jc w:val="both"/>
      </w:pPr>
      <w:r>
        <w:t xml:space="preserve">Based on the incomplete list of faculty that we generated from the FY19 Budget, we were also able to examine the gender breakdown of faculty by tenure eligibility for each college (excluding Honors and Yuma and excluding chairs and directors). We discovered that </w:t>
      </w:r>
      <w:r>
        <w:rPr>
          <w:b/>
        </w:rPr>
        <w:t>in every college, the ratio of women to men increases when we move from TT to NTT lines</w:t>
      </w:r>
      <w:r>
        <w:t xml:space="preserve">. </w:t>
      </w:r>
    </w:p>
    <w:p w14:paraId="4994413C" w14:textId="77777777" w:rsidR="00DD0898" w:rsidRDefault="00DD0898">
      <w:pPr>
        <w:jc w:val="both"/>
      </w:pPr>
    </w:p>
    <w:p w14:paraId="57977B61" w14:textId="77777777" w:rsidR="00DD0898" w:rsidRDefault="00DD0898">
      <w:pPr>
        <w:jc w:val="both"/>
      </w:pPr>
    </w:p>
    <w:p w14:paraId="6965173F" w14:textId="77777777" w:rsidR="00DD0898" w:rsidRDefault="00DD0898">
      <w:pPr>
        <w:jc w:val="both"/>
      </w:pPr>
    </w:p>
    <w:p w14:paraId="6639B203" w14:textId="77777777" w:rsidR="00DD0898" w:rsidRDefault="00DD0898">
      <w:pPr>
        <w:jc w:val="both"/>
      </w:pPr>
    </w:p>
    <w:p w14:paraId="4E6F0D08" w14:textId="77777777" w:rsidR="00DD0898" w:rsidRDefault="007E3F6F">
      <w:pPr>
        <w:jc w:val="center"/>
        <w:rPr>
          <w:b/>
        </w:rPr>
      </w:pPr>
      <w:r>
        <w:rPr>
          <w:b/>
        </w:rPr>
        <w:t>College of Social and Behavioral Sciences</w:t>
      </w:r>
    </w:p>
    <w:tbl>
      <w:tblPr>
        <w:tblStyle w:val="a3"/>
        <w:tblW w:w="8760" w:type="dxa"/>
        <w:tblInd w:w="1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4470"/>
      </w:tblGrid>
      <w:tr w:rsidR="00DD0898" w14:paraId="0A5C6A11" w14:textId="77777777">
        <w:tc>
          <w:tcPr>
            <w:tcW w:w="4290" w:type="dxa"/>
            <w:shd w:val="clear" w:color="auto" w:fill="auto"/>
            <w:tcMar>
              <w:top w:w="100" w:type="dxa"/>
              <w:left w:w="100" w:type="dxa"/>
              <w:bottom w:w="100" w:type="dxa"/>
              <w:right w:w="100" w:type="dxa"/>
            </w:tcMar>
          </w:tcPr>
          <w:p w14:paraId="1553D3FC" w14:textId="77777777" w:rsidR="00DD0898" w:rsidRDefault="007E3F6F">
            <w:pPr>
              <w:widowControl w:val="0"/>
              <w:spacing w:line="240" w:lineRule="auto"/>
              <w:jc w:val="center"/>
              <w:rPr>
                <w:b/>
              </w:rPr>
            </w:pPr>
            <w:r>
              <w:rPr>
                <w:b/>
                <w:noProof/>
                <w:lang w:val="en-US"/>
              </w:rPr>
              <w:drawing>
                <wp:inline distT="114300" distB="114300" distL="114300" distR="114300" wp14:anchorId="1C4C4B01" wp14:editId="35E632EA">
                  <wp:extent cx="1866900" cy="1687547"/>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1866900" cy="1687547"/>
                          </a:xfrm>
                          <a:prstGeom prst="rect">
                            <a:avLst/>
                          </a:prstGeom>
                          <a:ln/>
                        </pic:spPr>
                      </pic:pic>
                    </a:graphicData>
                  </a:graphic>
                </wp:inline>
              </w:drawing>
            </w:r>
          </w:p>
        </w:tc>
        <w:tc>
          <w:tcPr>
            <w:tcW w:w="4470" w:type="dxa"/>
            <w:shd w:val="clear" w:color="auto" w:fill="auto"/>
            <w:tcMar>
              <w:top w:w="100" w:type="dxa"/>
              <w:left w:w="100" w:type="dxa"/>
              <w:bottom w:w="100" w:type="dxa"/>
              <w:right w:w="100" w:type="dxa"/>
            </w:tcMar>
          </w:tcPr>
          <w:p w14:paraId="4BF8297C" w14:textId="77777777" w:rsidR="00DD0898" w:rsidRDefault="007E3F6F">
            <w:pPr>
              <w:widowControl w:val="0"/>
              <w:pBdr>
                <w:top w:val="nil"/>
                <w:left w:val="nil"/>
                <w:bottom w:val="nil"/>
                <w:right w:val="nil"/>
                <w:between w:val="nil"/>
              </w:pBdr>
              <w:spacing w:line="240" w:lineRule="auto"/>
              <w:jc w:val="center"/>
              <w:rPr>
                <w:b/>
              </w:rPr>
            </w:pPr>
            <w:r>
              <w:rPr>
                <w:b/>
                <w:noProof/>
                <w:lang w:val="en-US"/>
              </w:rPr>
              <w:drawing>
                <wp:inline distT="114300" distB="114300" distL="114300" distR="114300" wp14:anchorId="5B3C14C5" wp14:editId="2AF5BAA3">
                  <wp:extent cx="1885950" cy="1653690"/>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1885950" cy="1653690"/>
                          </a:xfrm>
                          <a:prstGeom prst="rect">
                            <a:avLst/>
                          </a:prstGeom>
                          <a:ln/>
                        </pic:spPr>
                      </pic:pic>
                    </a:graphicData>
                  </a:graphic>
                </wp:inline>
              </w:drawing>
            </w:r>
          </w:p>
        </w:tc>
      </w:tr>
    </w:tbl>
    <w:p w14:paraId="165DD6DC" w14:textId="77777777" w:rsidR="00DD0898" w:rsidRDefault="00DD0898">
      <w:pPr>
        <w:rPr>
          <w:b/>
          <w:sz w:val="16"/>
          <w:szCs w:val="16"/>
        </w:rPr>
      </w:pPr>
    </w:p>
    <w:p w14:paraId="290870BE" w14:textId="77777777" w:rsidR="00DD0898" w:rsidRDefault="007E3F6F">
      <w:pPr>
        <w:jc w:val="center"/>
      </w:pPr>
      <w:r>
        <w:rPr>
          <w:b/>
        </w:rPr>
        <w:t>College of Arts and Letters</w:t>
      </w:r>
    </w:p>
    <w:tbl>
      <w:tblPr>
        <w:tblStyle w:val="a4"/>
        <w:tblW w:w="8955" w:type="dxa"/>
        <w:tblInd w:w="1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4560"/>
      </w:tblGrid>
      <w:tr w:rsidR="00DD0898" w14:paraId="1FF7AE77" w14:textId="77777777">
        <w:tc>
          <w:tcPr>
            <w:tcW w:w="4395" w:type="dxa"/>
            <w:shd w:val="clear" w:color="auto" w:fill="auto"/>
            <w:tcMar>
              <w:top w:w="100" w:type="dxa"/>
              <w:left w:w="100" w:type="dxa"/>
              <w:bottom w:w="100" w:type="dxa"/>
              <w:right w:w="100" w:type="dxa"/>
            </w:tcMar>
          </w:tcPr>
          <w:p w14:paraId="43D9F30D" w14:textId="77777777" w:rsidR="00DD0898" w:rsidRDefault="007E3F6F">
            <w:pPr>
              <w:widowControl w:val="0"/>
              <w:pBdr>
                <w:top w:val="nil"/>
                <w:left w:val="nil"/>
                <w:bottom w:val="nil"/>
                <w:right w:val="nil"/>
                <w:between w:val="nil"/>
              </w:pBdr>
              <w:spacing w:line="240" w:lineRule="auto"/>
              <w:jc w:val="center"/>
            </w:pPr>
            <w:r>
              <w:rPr>
                <w:noProof/>
                <w:lang w:val="en-US"/>
              </w:rPr>
              <w:drawing>
                <wp:inline distT="114300" distB="114300" distL="114300" distR="114300" wp14:anchorId="3005B65D" wp14:editId="6631DBA2">
                  <wp:extent cx="1833563" cy="1636828"/>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1833563" cy="1636828"/>
                          </a:xfrm>
                          <a:prstGeom prst="rect">
                            <a:avLst/>
                          </a:prstGeom>
                          <a:ln/>
                        </pic:spPr>
                      </pic:pic>
                    </a:graphicData>
                  </a:graphic>
                </wp:inline>
              </w:drawing>
            </w:r>
          </w:p>
        </w:tc>
        <w:tc>
          <w:tcPr>
            <w:tcW w:w="4560" w:type="dxa"/>
            <w:shd w:val="clear" w:color="auto" w:fill="auto"/>
            <w:tcMar>
              <w:top w:w="100" w:type="dxa"/>
              <w:left w:w="100" w:type="dxa"/>
              <w:bottom w:w="100" w:type="dxa"/>
              <w:right w:w="100" w:type="dxa"/>
            </w:tcMar>
          </w:tcPr>
          <w:p w14:paraId="1B4E253F" w14:textId="77777777" w:rsidR="00DD0898" w:rsidRDefault="007E3F6F">
            <w:pPr>
              <w:widowControl w:val="0"/>
              <w:pBdr>
                <w:top w:val="nil"/>
                <w:left w:val="nil"/>
                <w:bottom w:val="nil"/>
                <w:right w:val="nil"/>
                <w:between w:val="nil"/>
              </w:pBdr>
              <w:spacing w:line="240" w:lineRule="auto"/>
              <w:jc w:val="center"/>
            </w:pPr>
            <w:r>
              <w:rPr>
                <w:noProof/>
                <w:lang w:val="en-US"/>
              </w:rPr>
              <w:drawing>
                <wp:inline distT="114300" distB="114300" distL="114300" distR="114300" wp14:anchorId="21C3CB7E" wp14:editId="6F625AFD">
                  <wp:extent cx="1866900" cy="1648184"/>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1866900" cy="1648184"/>
                          </a:xfrm>
                          <a:prstGeom prst="rect">
                            <a:avLst/>
                          </a:prstGeom>
                          <a:ln/>
                        </pic:spPr>
                      </pic:pic>
                    </a:graphicData>
                  </a:graphic>
                </wp:inline>
              </w:drawing>
            </w:r>
          </w:p>
        </w:tc>
      </w:tr>
    </w:tbl>
    <w:p w14:paraId="7BECD721" w14:textId="77777777" w:rsidR="00DD0898" w:rsidRDefault="00DD0898">
      <w:pPr>
        <w:jc w:val="both"/>
        <w:rPr>
          <w:b/>
          <w:sz w:val="16"/>
          <w:szCs w:val="16"/>
        </w:rPr>
      </w:pPr>
    </w:p>
    <w:p w14:paraId="48060D44" w14:textId="77777777" w:rsidR="00DD0898" w:rsidRDefault="007E3F6F">
      <w:pPr>
        <w:jc w:val="center"/>
        <w:rPr>
          <w:b/>
        </w:rPr>
      </w:pPr>
      <w:r>
        <w:rPr>
          <w:b/>
        </w:rPr>
        <w:t>College of Health and Human Services</w:t>
      </w:r>
    </w:p>
    <w:tbl>
      <w:tblPr>
        <w:tblStyle w:val="a5"/>
        <w:tblW w:w="8970" w:type="dxa"/>
        <w:tblInd w:w="1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0"/>
        <w:gridCol w:w="4590"/>
      </w:tblGrid>
      <w:tr w:rsidR="00DD0898" w14:paraId="274915C3" w14:textId="77777777">
        <w:tc>
          <w:tcPr>
            <w:tcW w:w="4380" w:type="dxa"/>
            <w:shd w:val="clear" w:color="auto" w:fill="auto"/>
            <w:tcMar>
              <w:top w:w="100" w:type="dxa"/>
              <w:left w:w="100" w:type="dxa"/>
              <w:bottom w:w="100" w:type="dxa"/>
              <w:right w:w="100" w:type="dxa"/>
            </w:tcMar>
          </w:tcPr>
          <w:p w14:paraId="2B37C258" w14:textId="77777777" w:rsidR="00DD0898" w:rsidRDefault="007E3F6F">
            <w:pPr>
              <w:widowControl w:val="0"/>
              <w:pBdr>
                <w:top w:val="nil"/>
                <w:left w:val="nil"/>
                <w:bottom w:val="nil"/>
                <w:right w:val="nil"/>
                <w:between w:val="nil"/>
              </w:pBdr>
              <w:spacing w:line="240" w:lineRule="auto"/>
              <w:jc w:val="center"/>
              <w:rPr>
                <w:b/>
              </w:rPr>
            </w:pPr>
            <w:r>
              <w:rPr>
                <w:b/>
                <w:noProof/>
                <w:lang w:val="en-US"/>
              </w:rPr>
              <w:drawing>
                <wp:inline distT="114300" distB="114300" distL="114300" distR="114300" wp14:anchorId="2B49A149" wp14:editId="42BD2D49">
                  <wp:extent cx="1924050" cy="1708493"/>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1924050" cy="1708493"/>
                          </a:xfrm>
                          <a:prstGeom prst="rect">
                            <a:avLst/>
                          </a:prstGeom>
                          <a:ln/>
                        </pic:spPr>
                      </pic:pic>
                    </a:graphicData>
                  </a:graphic>
                </wp:inline>
              </w:drawing>
            </w:r>
          </w:p>
        </w:tc>
        <w:tc>
          <w:tcPr>
            <w:tcW w:w="4590" w:type="dxa"/>
            <w:shd w:val="clear" w:color="auto" w:fill="auto"/>
            <w:tcMar>
              <w:top w:w="100" w:type="dxa"/>
              <w:left w:w="100" w:type="dxa"/>
              <w:bottom w:w="100" w:type="dxa"/>
              <w:right w:w="100" w:type="dxa"/>
            </w:tcMar>
          </w:tcPr>
          <w:p w14:paraId="15277F3D" w14:textId="77777777" w:rsidR="00DD0898" w:rsidRDefault="007E3F6F">
            <w:pPr>
              <w:widowControl w:val="0"/>
              <w:pBdr>
                <w:top w:val="nil"/>
                <w:left w:val="nil"/>
                <w:bottom w:val="nil"/>
                <w:right w:val="nil"/>
                <w:between w:val="nil"/>
              </w:pBdr>
              <w:spacing w:line="240" w:lineRule="auto"/>
              <w:jc w:val="center"/>
              <w:rPr>
                <w:b/>
              </w:rPr>
            </w:pPr>
            <w:r>
              <w:rPr>
                <w:b/>
                <w:noProof/>
                <w:lang w:val="en-US"/>
              </w:rPr>
              <w:drawing>
                <wp:inline distT="114300" distB="114300" distL="114300" distR="114300" wp14:anchorId="6E7F1319" wp14:editId="1C0C8E29">
                  <wp:extent cx="1914525" cy="170625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1914525" cy="1706250"/>
                          </a:xfrm>
                          <a:prstGeom prst="rect">
                            <a:avLst/>
                          </a:prstGeom>
                          <a:ln/>
                        </pic:spPr>
                      </pic:pic>
                    </a:graphicData>
                  </a:graphic>
                </wp:inline>
              </w:drawing>
            </w:r>
          </w:p>
        </w:tc>
      </w:tr>
    </w:tbl>
    <w:p w14:paraId="39D4A212" w14:textId="77777777" w:rsidR="00DD0898" w:rsidRDefault="00DD0898">
      <w:pPr>
        <w:jc w:val="both"/>
        <w:rPr>
          <w:b/>
          <w:sz w:val="16"/>
          <w:szCs w:val="16"/>
        </w:rPr>
      </w:pPr>
    </w:p>
    <w:p w14:paraId="2D5A6A47" w14:textId="77777777" w:rsidR="00DD0898" w:rsidRDefault="007E3F6F">
      <w:pPr>
        <w:jc w:val="center"/>
        <w:rPr>
          <w:b/>
        </w:rPr>
      </w:pPr>
      <w:r>
        <w:rPr>
          <w:b/>
        </w:rPr>
        <w:t>College of Engineering, Forestry, and Natural Sciences</w:t>
      </w:r>
    </w:p>
    <w:tbl>
      <w:tblPr>
        <w:tblStyle w:val="a6"/>
        <w:tblW w:w="8970" w:type="dxa"/>
        <w:tblInd w:w="1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0"/>
        <w:gridCol w:w="4590"/>
      </w:tblGrid>
      <w:tr w:rsidR="00DD0898" w14:paraId="72604E09" w14:textId="77777777">
        <w:tc>
          <w:tcPr>
            <w:tcW w:w="4380" w:type="dxa"/>
            <w:shd w:val="clear" w:color="auto" w:fill="auto"/>
            <w:tcMar>
              <w:top w:w="100" w:type="dxa"/>
              <w:left w:w="100" w:type="dxa"/>
              <w:bottom w:w="100" w:type="dxa"/>
              <w:right w:w="100" w:type="dxa"/>
            </w:tcMar>
          </w:tcPr>
          <w:p w14:paraId="00ABE230" w14:textId="77777777" w:rsidR="00DD0898" w:rsidRDefault="007E3F6F">
            <w:pPr>
              <w:widowControl w:val="0"/>
              <w:pBdr>
                <w:top w:val="nil"/>
                <w:left w:val="nil"/>
                <w:bottom w:val="nil"/>
                <w:right w:val="nil"/>
                <w:between w:val="nil"/>
              </w:pBdr>
              <w:spacing w:line="240" w:lineRule="auto"/>
              <w:jc w:val="center"/>
              <w:rPr>
                <w:b/>
              </w:rPr>
            </w:pPr>
            <w:r>
              <w:rPr>
                <w:b/>
                <w:noProof/>
                <w:lang w:val="en-US"/>
              </w:rPr>
              <w:drawing>
                <wp:inline distT="114300" distB="114300" distL="114300" distR="114300" wp14:anchorId="28B679E9" wp14:editId="7B6FB044">
                  <wp:extent cx="1909763" cy="1678502"/>
                  <wp:effectExtent l="0" t="0" r="0" b="0"/>
                  <wp:docPr id="2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3"/>
                          <a:srcRect/>
                          <a:stretch>
                            <a:fillRect/>
                          </a:stretch>
                        </pic:blipFill>
                        <pic:spPr>
                          <a:xfrm>
                            <a:off x="0" y="0"/>
                            <a:ext cx="1909763" cy="1678502"/>
                          </a:xfrm>
                          <a:prstGeom prst="rect">
                            <a:avLst/>
                          </a:prstGeom>
                          <a:ln/>
                        </pic:spPr>
                      </pic:pic>
                    </a:graphicData>
                  </a:graphic>
                </wp:inline>
              </w:drawing>
            </w:r>
          </w:p>
        </w:tc>
        <w:tc>
          <w:tcPr>
            <w:tcW w:w="4590" w:type="dxa"/>
            <w:shd w:val="clear" w:color="auto" w:fill="auto"/>
            <w:tcMar>
              <w:top w:w="100" w:type="dxa"/>
              <w:left w:w="100" w:type="dxa"/>
              <w:bottom w:w="100" w:type="dxa"/>
              <w:right w:w="100" w:type="dxa"/>
            </w:tcMar>
          </w:tcPr>
          <w:p w14:paraId="5D110E59" w14:textId="77777777" w:rsidR="00DD0898" w:rsidRDefault="007E3F6F">
            <w:pPr>
              <w:widowControl w:val="0"/>
              <w:pBdr>
                <w:top w:val="nil"/>
                <w:left w:val="nil"/>
                <w:bottom w:val="nil"/>
                <w:right w:val="nil"/>
                <w:between w:val="nil"/>
              </w:pBdr>
              <w:spacing w:line="240" w:lineRule="auto"/>
              <w:jc w:val="center"/>
              <w:rPr>
                <w:b/>
              </w:rPr>
            </w:pPr>
            <w:r>
              <w:rPr>
                <w:b/>
                <w:noProof/>
                <w:lang w:val="en-US"/>
              </w:rPr>
              <w:drawing>
                <wp:inline distT="114300" distB="114300" distL="114300" distR="114300" wp14:anchorId="06CA0BA1" wp14:editId="102CDAC3">
                  <wp:extent cx="1909763" cy="1663582"/>
                  <wp:effectExtent l="0" t="0" r="0" b="0"/>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a:stretch>
                            <a:fillRect/>
                          </a:stretch>
                        </pic:blipFill>
                        <pic:spPr>
                          <a:xfrm>
                            <a:off x="0" y="0"/>
                            <a:ext cx="1909763" cy="1663582"/>
                          </a:xfrm>
                          <a:prstGeom prst="rect">
                            <a:avLst/>
                          </a:prstGeom>
                          <a:ln/>
                        </pic:spPr>
                      </pic:pic>
                    </a:graphicData>
                  </a:graphic>
                </wp:inline>
              </w:drawing>
            </w:r>
          </w:p>
        </w:tc>
      </w:tr>
    </w:tbl>
    <w:p w14:paraId="739EB58A" w14:textId="77777777" w:rsidR="00DD0898" w:rsidRDefault="00DD0898">
      <w:pPr>
        <w:jc w:val="both"/>
        <w:rPr>
          <w:b/>
        </w:rPr>
      </w:pPr>
    </w:p>
    <w:p w14:paraId="2AA75C28" w14:textId="77777777" w:rsidR="00DD0898" w:rsidRDefault="00DD0898">
      <w:pPr>
        <w:jc w:val="both"/>
        <w:rPr>
          <w:b/>
        </w:rPr>
      </w:pPr>
    </w:p>
    <w:p w14:paraId="71872918" w14:textId="77777777" w:rsidR="00DD0898" w:rsidRDefault="007E3F6F">
      <w:pPr>
        <w:jc w:val="center"/>
        <w:rPr>
          <w:b/>
        </w:rPr>
      </w:pPr>
      <w:r>
        <w:rPr>
          <w:b/>
        </w:rPr>
        <w:lastRenderedPageBreak/>
        <w:t>College of Business</w:t>
      </w:r>
    </w:p>
    <w:tbl>
      <w:tblPr>
        <w:tblStyle w:val="a7"/>
        <w:tblW w:w="906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4650"/>
      </w:tblGrid>
      <w:tr w:rsidR="00DD0898" w14:paraId="590C7F64" w14:textId="77777777">
        <w:tc>
          <w:tcPr>
            <w:tcW w:w="4410" w:type="dxa"/>
            <w:shd w:val="clear" w:color="auto" w:fill="auto"/>
            <w:tcMar>
              <w:top w:w="100" w:type="dxa"/>
              <w:left w:w="100" w:type="dxa"/>
              <w:bottom w:w="100" w:type="dxa"/>
              <w:right w:w="100" w:type="dxa"/>
            </w:tcMar>
          </w:tcPr>
          <w:p w14:paraId="69407142" w14:textId="77777777" w:rsidR="00DD0898" w:rsidRDefault="007E3F6F">
            <w:pPr>
              <w:widowControl w:val="0"/>
              <w:pBdr>
                <w:top w:val="nil"/>
                <w:left w:val="nil"/>
                <w:bottom w:val="nil"/>
                <w:right w:val="nil"/>
                <w:between w:val="nil"/>
              </w:pBdr>
              <w:spacing w:line="240" w:lineRule="auto"/>
              <w:jc w:val="center"/>
              <w:rPr>
                <w:b/>
              </w:rPr>
            </w:pPr>
            <w:r>
              <w:rPr>
                <w:b/>
                <w:noProof/>
                <w:lang w:val="en-US"/>
              </w:rPr>
              <w:drawing>
                <wp:inline distT="114300" distB="114300" distL="114300" distR="114300" wp14:anchorId="23D111F4" wp14:editId="26AA9070">
                  <wp:extent cx="2081213" cy="1839381"/>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a:stretch>
                            <a:fillRect/>
                          </a:stretch>
                        </pic:blipFill>
                        <pic:spPr>
                          <a:xfrm>
                            <a:off x="0" y="0"/>
                            <a:ext cx="2081213" cy="1839381"/>
                          </a:xfrm>
                          <a:prstGeom prst="rect">
                            <a:avLst/>
                          </a:prstGeom>
                          <a:ln/>
                        </pic:spPr>
                      </pic:pic>
                    </a:graphicData>
                  </a:graphic>
                </wp:inline>
              </w:drawing>
            </w:r>
          </w:p>
        </w:tc>
        <w:tc>
          <w:tcPr>
            <w:tcW w:w="4650" w:type="dxa"/>
            <w:shd w:val="clear" w:color="auto" w:fill="auto"/>
            <w:tcMar>
              <w:top w:w="100" w:type="dxa"/>
              <w:left w:w="100" w:type="dxa"/>
              <w:bottom w:w="100" w:type="dxa"/>
              <w:right w:w="100" w:type="dxa"/>
            </w:tcMar>
          </w:tcPr>
          <w:p w14:paraId="6845CE69" w14:textId="77777777" w:rsidR="00DD0898" w:rsidRDefault="007E3F6F">
            <w:pPr>
              <w:widowControl w:val="0"/>
              <w:pBdr>
                <w:top w:val="nil"/>
                <w:left w:val="nil"/>
                <w:bottom w:val="nil"/>
                <w:right w:val="nil"/>
                <w:between w:val="nil"/>
              </w:pBdr>
              <w:spacing w:line="240" w:lineRule="auto"/>
              <w:jc w:val="center"/>
              <w:rPr>
                <w:b/>
              </w:rPr>
            </w:pPr>
            <w:r>
              <w:rPr>
                <w:b/>
                <w:noProof/>
                <w:lang w:val="en-US"/>
              </w:rPr>
              <w:drawing>
                <wp:inline distT="114300" distB="114300" distL="114300" distR="114300" wp14:anchorId="7873E782" wp14:editId="118569BB">
                  <wp:extent cx="2057400" cy="1859714"/>
                  <wp:effectExtent l="0" t="0" r="0" 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6"/>
                          <a:srcRect/>
                          <a:stretch>
                            <a:fillRect/>
                          </a:stretch>
                        </pic:blipFill>
                        <pic:spPr>
                          <a:xfrm>
                            <a:off x="0" y="0"/>
                            <a:ext cx="2057400" cy="1859714"/>
                          </a:xfrm>
                          <a:prstGeom prst="rect">
                            <a:avLst/>
                          </a:prstGeom>
                          <a:ln/>
                        </pic:spPr>
                      </pic:pic>
                    </a:graphicData>
                  </a:graphic>
                </wp:inline>
              </w:drawing>
            </w:r>
          </w:p>
        </w:tc>
      </w:tr>
    </w:tbl>
    <w:p w14:paraId="4F7FF2B9" w14:textId="77777777" w:rsidR="00DD0898" w:rsidRDefault="00DD0898">
      <w:pPr>
        <w:jc w:val="both"/>
        <w:rPr>
          <w:b/>
          <w:sz w:val="16"/>
          <w:szCs w:val="16"/>
        </w:rPr>
      </w:pPr>
    </w:p>
    <w:p w14:paraId="7A8F8369" w14:textId="77777777" w:rsidR="00DD0898" w:rsidRDefault="007E3F6F">
      <w:pPr>
        <w:jc w:val="center"/>
        <w:rPr>
          <w:b/>
        </w:rPr>
      </w:pPr>
      <w:r>
        <w:rPr>
          <w:b/>
        </w:rPr>
        <w:t>College of Education</w:t>
      </w:r>
    </w:p>
    <w:tbl>
      <w:tblPr>
        <w:tblStyle w:val="a8"/>
        <w:tblW w:w="9075"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4665"/>
      </w:tblGrid>
      <w:tr w:rsidR="00DD0898" w14:paraId="0DE98E05" w14:textId="77777777">
        <w:tc>
          <w:tcPr>
            <w:tcW w:w="4410" w:type="dxa"/>
            <w:shd w:val="clear" w:color="auto" w:fill="auto"/>
            <w:tcMar>
              <w:top w:w="100" w:type="dxa"/>
              <w:left w:w="100" w:type="dxa"/>
              <w:bottom w:w="100" w:type="dxa"/>
              <w:right w:w="100" w:type="dxa"/>
            </w:tcMar>
          </w:tcPr>
          <w:p w14:paraId="6EB15C09" w14:textId="77777777" w:rsidR="00DD0898" w:rsidRDefault="007E3F6F">
            <w:pPr>
              <w:widowControl w:val="0"/>
              <w:pBdr>
                <w:top w:val="nil"/>
                <w:left w:val="nil"/>
                <w:bottom w:val="nil"/>
                <w:right w:val="nil"/>
                <w:between w:val="nil"/>
              </w:pBdr>
              <w:spacing w:line="240" w:lineRule="auto"/>
              <w:jc w:val="center"/>
              <w:rPr>
                <w:b/>
              </w:rPr>
            </w:pPr>
            <w:r>
              <w:rPr>
                <w:b/>
                <w:noProof/>
                <w:lang w:val="en-US"/>
              </w:rPr>
              <w:drawing>
                <wp:inline distT="114300" distB="114300" distL="114300" distR="114300" wp14:anchorId="4635D604" wp14:editId="1A60424E">
                  <wp:extent cx="2119313" cy="1879892"/>
                  <wp:effectExtent l="0" t="0" r="0" b="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2119313" cy="1879892"/>
                          </a:xfrm>
                          <a:prstGeom prst="rect">
                            <a:avLst/>
                          </a:prstGeom>
                          <a:ln/>
                        </pic:spPr>
                      </pic:pic>
                    </a:graphicData>
                  </a:graphic>
                </wp:inline>
              </w:drawing>
            </w:r>
          </w:p>
        </w:tc>
        <w:tc>
          <w:tcPr>
            <w:tcW w:w="4665" w:type="dxa"/>
            <w:shd w:val="clear" w:color="auto" w:fill="auto"/>
            <w:tcMar>
              <w:top w:w="100" w:type="dxa"/>
              <w:left w:w="100" w:type="dxa"/>
              <w:bottom w:w="100" w:type="dxa"/>
              <w:right w:w="100" w:type="dxa"/>
            </w:tcMar>
          </w:tcPr>
          <w:p w14:paraId="2524C014" w14:textId="77777777" w:rsidR="00DD0898" w:rsidRDefault="007E3F6F">
            <w:pPr>
              <w:widowControl w:val="0"/>
              <w:pBdr>
                <w:top w:val="nil"/>
                <w:left w:val="nil"/>
                <w:bottom w:val="nil"/>
                <w:right w:val="nil"/>
                <w:between w:val="nil"/>
              </w:pBdr>
              <w:spacing w:line="240" w:lineRule="auto"/>
              <w:jc w:val="center"/>
              <w:rPr>
                <w:b/>
              </w:rPr>
            </w:pPr>
            <w:r>
              <w:rPr>
                <w:b/>
                <w:noProof/>
                <w:lang w:val="en-US"/>
              </w:rPr>
              <w:drawing>
                <wp:inline distT="114300" distB="114300" distL="114300" distR="114300" wp14:anchorId="79DC5E8F" wp14:editId="162484F2">
                  <wp:extent cx="2093699" cy="1862138"/>
                  <wp:effectExtent l="0" t="0" r="0" b="0"/>
                  <wp:docPr id="2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8"/>
                          <a:srcRect/>
                          <a:stretch>
                            <a:fillRect/>
                          </a:stretch>
                        </pic:blipFill>
                        <pic:spPr>
                          <a:xfrm>
                            <a:off x="0" y="0"/>
                            <a:ext cx="2093699" cy="1862138"/>
                          </a:xfrm>
                          <a:prstGeom prst="rect">
                            <a:avLst/>
                          </a:prstGeom>
                          <a:ln/>
                        </pic:spPr>
                      </pic:pic>
                    </a:graphicData>
                  </a:graphic>
                </wp:inline>
              </w:drawing>
            </w:r>
          </w:p>
        </w:tc>
      </w:tr>
    </w:tbl>
    <w:p w14:paraId="53FA059F" w14:textId="77777777" w:rsidR="00DD0898" w:rsidRDefault="00DD0898">
      <w:pPr>
        <w:jc w:val="both"/>
        <w:rPr>
          <w:b/>
          <w:sz w:val="16"/>
          <w:szCs w:val="16"/>
        </w:rPr>
      </w:pPr>
    </w:p>
    <w:p w14:paraId="39B67A41" w14:textId="77777777" w:rsidR="00DD0898" w:rsidRDefault="007E3F6F">
      <w:pPr>
        <w:jc w:val="center"/>
      </w:pPr>
      <w:r>
        <w:rPr>
          <w:b/>
        </w:rPr>
        <w:t>College of Engineering, Informatics, and Applied Sciences</w:t>
      </w:r>
    </w:p>
    <w:tbl>
      <w:tblPr>
        <w:tblStyle w:val="a9"/>
        <w:tblW w:w="8970" w:type="dxa"/>
        <w:tblInd w:w="1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gridCol w:w="4620"/>
      </w:tblGrid>
      <w:tr w:rsidR="00DD0898" w14:paraId="5B49D8D9" w14:textId="77777777">
        <w:tc>
          <w:tcPr>
            <w:tcW w:w="4350" w:type="dxa"/>
            <w:shd w:val="clear" w:color="auto" w:fill="auto"/>
            <w:tcMar>
              <w:top w:w="100" w:type="dxa"/>
              <w:left w:w="100" w:type="dxa"/>
              <w:bottom w:w="100" w:type="dxa"/>
              <w:right w:w="100" w:type="dxa"/>
            </w:tcMar>
          </w:tcPr>
          <w:p w14:paraId="287CF31F" w14:textId="77777777" w:rsidR="00DD0898" w:rsidRDefault="007E3F6F">
            <w:pPr>
              <w:widowControl w:val="0"/>
              <w:pBdr>
                <w:top w:val="nil"/>
                <w:left w:val="nil"/>
                <w:bottom w:val="nil"/>
                <w:right w:val="nil"/>
                <w:between w:val="nil"/>
              </w:pBdr>
              <w:spacing w:line="240" w:lineRule="auto"/>
            </w:pPr>
            <w:r>
              <w:rPr>
                <w:noProof/>
                <w:lang w:val="en-US"/>
              </w:rPr>
              <w:drawing>
                <wp:inline distT="114300" distB="114300" distL="114300" distR="114300" wp14:anchorId="120CE819" wp14:editId="1430B2B1">
                  <wp:extent cx="2576513" cy="2286096"/>
                  <wp:effectExtent l="0" t="0" r="0" b="0"/>
                  <wp:docPr id="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9"/>
                          <a:srcRect/>
                          <a:stretch>
                            <a:fillRect/>
                          </a:stretch>
                        </pic:blipFill>
                        <pic:spPr>
                          <a:xfrm>
                            <a:off x="0" y="0"/>
                            <a:ext cx="2576513" cy="2286096"/>
                          </a:xfrm>
                          <a:prstGeom prst="rect">
                            <a:avLst/>
                          </a:prstGeom>
                          <a:ln/>
                        </pic:spPr>
                      </pic:pic>
                    </a:graphicData>
                  </a:graphic>
                </wp:inline>
              </w:drawing>
            </w:r>
          </w:p>
        </w:tc>
        <w:tc>
          <w:tcPr>
            <w:tcW w:w="4620" w:type="dxa"/>
            <w:shd w:val="clear" w:color="auto" w:fill="auto"/>
            <w:tcMar>
              <w:top w:w="100" w:type="dxa"/>
              <w:left w:w="100" w:type="dxa"/>
              <w:bottom w:w="100" w:type="dxa"/>
              <w:right w:w="100" w:type="dxa"/>
            </w:tcMar>
          </w:tcPr>
          <w:p w14:paraId="5C87A821" w14:textId="77777777" w:rsidR="00DD0898" w:rsidRDefault="007E3F6F">
            <w:pPr>
              <w:widowControl w:val="0"/>
              <w:pBdr>
                <w:top w:val="nil"/>
                <w:left w:val="nil"/>
                <w:bottom w:val="nil"/>
                <w:right w:val="nil"/>
                <w:between w:val="nil"/>
              </w:pBdr>
              <w:spacing w:line="240" w:lineRule="auto"/>
            </w:pPr>
            <w:r>
              <w:rPr>
                <w:noProof/>
                <w:lang w:val="en-US"/>
              </w:rPr>
              <w:drawing>
                <wp:inline distT="114300" distB="114300" distL="114300" distR="114300" wp14:anchorId="2B43FF34" wp14:editId="6AA22BA1">
                  <wp:extent cx="2595563" cy="2318002"/>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0"/>
                          <a:srcRect/>
                          <a:stretch>
                            <a:fillRect/>
                          </a:stretch>
                        </pic:blipFill>
                        <pic:spPr>
                          <a:xfrm>
                            <a:off x="0" y="0"/>
                            <a:ext cx="2595563" cy="2318002"/>
                          </a:xfrm>
                          <a:prstGeom prst="rect">
                            <a:avLst/>
                          </a:prstGeom>
                          <a:ln/>
                        </pic:spPr>
                      </pic:pic>
                    </a:graphicData>
                  </a:graphic>
                </wp:inline>
              </w:drawing>
            </w:r>
          </w:p>
        </w:tc>
      </w:tr>
    </w:tbl>
    <w:p w14:paraId="3B10D506" w14:textId="77777777" w:rsidR="00DD0898" w:rsidRDefault="00DD0898">
      <w:pPr>
        <w:jc w:val="both"/>
        <w:rPr>
          <w:sz w:val="12"/>
          <w:szCs w:val="12"/>
        </w:rPr>
      </w:pPr>
    </w:p>
    <w:p w14:paraId="0FC91901" w14:textId="77777777" w:rsidR="00DD0898" w:rsidRDefault="007E3F6F">
      <w:pPr>
        <w:jc w:val="both"/>
      </w:pPr>
      <w:r>
        <w:rPr>
          <w:b/>
        </w:rPr>
        <w:t>Because every college has a higher proportion of female faculty in NTT lines than in TT lines and because in every college, NTT faculty make less than TT faculty at every level</w:t>
      </w:r>
      <w:r>
        <w:t xml:space="preserve">, the average salaries of female faculty will be considerably less than male faculty. </w:t>
      </w:r>
    </w:p>
    <w:p w14:paraId="30D0FC54" w14:textId="77777777" w:rsidR="00DD0898" w:rsidRDefault="00DD0898">
      <w:pPr>
        <w:rPr>
          <w:b/>
        </w:rPr>
      </w:pPr>
    </w:p>
    <w:p w14:paraId="5C6CE87F" w14:textId="77777777" w:rsidR="008A3FCB" w:rsidRDefault="008A3FCB">
      <w:pPr>
        <w:rPr>
          <w:b/>
        </w:rPr>
      </w:pPr>
    </w:p>
    <w:p w14:paraId="59204300" w14:textId="77777777" w:rsidR="00DD0898" w:rsidRDefault="007E3F6F">
      <w:r>
        <w:rPr>
          <w:b/>
        </w:rPr>
        <w:t>Conclusions</w:t>
      </w:r>
    </w:p>
    <w:p w14:paraId="45B7424C" w14:textId="77777777" w:rsidR="00DD0898" w:rsidRDefault="00C425DC">
      <w:r>
        <w:pict w14:anchorId="6A70B31A">
          <v:rect id="_x0000_i1027" style="width:0;height:1.5pt" o:hralign="center" o:hrstd="t" o:hr="t" fillcolor="#a0a0a0" stroked="f"/>
        </w:pict>
      </w:r>
    </w:p>
    <w:p w14:paraId="22773BA6" w14:textId="0E9DE25A" w:rsidR="00DD0898" w:rsidRDefault="007E3F6F">
      <w:pPr>
        <w:jc w:val="both"/>
      </w:pPr>
      <w:r>
        <w:t xml:space="preserve">At this point, we suggest that there is a significant pay gap based on gender at our university and that the most apparent cause of this inequity is the overrepresentation of female faculty in NTT lines. </w:t>
      </w:r>
    </w:p>
    <w:p w14:paraId="53380135" w14:textId="77777777" w:rsidR="00DD0898" w:rsidRDefault="00DD0898">
      <w:pPr>
        <w:jc w:val="both"/>
      </w:pPr>
    </w:p>
    <w:p w14:paraId="2693270C" w14:textId="77777777" w:rsidR="00DD0898" w:rsidRDefault="007E3F6F">
      <w:pPr>
        <w:jc w:val="both"/>
      </w:pPr>
      <w:r>
        <w:t xml:space="preserve">While we have only considered salary differences, the overrepresentation of women and women of color in NTT lines has other serious effects that extend far beyond salary. NTT faculty, for example, are ineligible for various internal awards and grants (such as those sponsored by the Faculty Grants Program). Furthermore, NTT faculty are now no longer able to apply for sabbaticals, according to the most recent communications from the Provost’s office. Finally, NTT faculty are far less likely, if eligible at all, to receive other perks that would not appear in a simple budget, such as start-up funds, summer funding, and course releases. We have no way of measuring the full extent of inequity by gender because the total worth of faculty contracts is not being  tracked. </w:t>
      </w:r>
    </w:p>
    <w:p w14:paraId="56AB6D1E" w14:textId="77777777" w:rsidR="008343B1" w:rsidRDefault="008343B1">
      <w:pPr>
        <w:jc w:val="both"/>
      </w:pPr>
    </w:p>
    <w:p w14:paraId="7252B46F" w14:textId="77777777" w:rsidR="008343B1" w:rsidRDefault="008343B1">
      <w:pPr>
        <w:jc w:val="both"/>
      </w:pPr>
    </w:p>
    <w:p w14:paraId="69E0F5E4" w14:textId="7646177F" w:rsidR="008343B1" w:rsidRDefault="008343B1">
      <w:r>
        <w:br w:type="page"/>
      </w:r>
    </w:p>
    <w:p w14:paraId="1ADC8047" w14:textId="40480FFC" w:rsidR="008343B1" w:rsidRDefault="008343B1" w:rsidP="00D04E67">
      <w:r>
        <w:lastRenderedPageBreak/>
        <w:t>Appendix</w:t>
      </w:r>
    </w:p>
    <w:p w14:paraId="1831D613" w14:textId="77777777" w:rsidR="008343B1" w:rsidRDefault="008343B1">
      <w:pPr>
        <w:jc w:val="both"/>
      </w:pPr>
    </w:p>
    <w:p w14:paraId="07B45B21" w14:textId="07E74AF6" w:rsidR="008343B1" w:rsidRDefault="008343B1" w:rsidP="008343B1">
      <w:pPr>
        <w:rPr>
          <w:b/>
        </w:rPr>
      </w:pPr>
      <w:r>
        <w:rPr>
          <w:b/>
        </w:rPr>
        <w:t>Background</w:t>
      </w:r>
      <w:r w:rsidR="00615873">
        <w:rPr>
          <w:b/>
        </w:rPr>
        <w:t xml:space="preserve"> on Data Availability</w:t>
      </w:r>
    </w:p>
    <w:p w14:paraId="2D18BD62" w14:textId="77777777" w:rsidR="008343B1" w:rsidRDefault="00C425DC" w:rsidP="008343B1">
      <w:pPr>
        <w:rPr>
          <w:b/>
        </w:rPr>
      </w:pPr>
      <w:r>
        <w:pict w14:anchorId="346E54B4">
          <v:rect id="_x0000_i1028" style="width:0;height:1.5pt" o:hralign="center" o:hrstd="t" o:hr="t" fillcolor="#a0a0a0" stroked="f"/>
        </w:pict>
      </w:r>
    </w:p>
    <w:p w14:paraId="29261B84" w14:textId="732E2612" w:rsidR="008343B1" w:rsidRDefault="008343B1" w:rsidP="008343B1">
      <w:pPr>
        <w:jc w:val="both"/>
      </w:pPr>
      <w:r>
        <w:t xml:space="preserve">In February 2018, during a University Leadership Program session focused on “Negotiation,” Karen Renner raised the question of what impact gender played in terms of salary, separate from negotiation abilities, as she had recently discovered that NAU’s Institutional and Research and Analysis (IRA) page showed that male faculty were currently making on average over $12,000 more than female faculty. In response, Roger Bounds told her that such statistics could be misleading and that more variables needed to be considered since salaries differed so widely across disciplines. Using the current NAU Budget Book, </w:t>
      </w:r>
      <w:r w:rsidR="000C1898">
        <w:t xml:space="preserve">Renner </w:t>
      </w:r>
      <w:r>
        <w:t xml:space="preserve">then produced another set of data that allowed her to compare male and female faculty by rank and college. However, she recognized that the results had many limitations--most serious being that the “University Salary Appendix” is incomplete, for it does not list salaries for faculty who are paid out of Centralized Instructional Funds. </w:t>
      </w:r>
    </w:p>
    <w:p w14:paraId="35FA524C" w14:textId="77777777" w:rsidR="008343B1" w:rsidRDefault="008343B1" w:rsidP="008343B1"/>
    <w:p w14:paraId="5F34020D" w14:textId="75887EA8" w:rsidR="008343B1" w:rsidRDefault="008343B1" w:rsidP="008343B1">
      <w:pPr>
        <w:jc w:val="both"/>
      </w:pPr>
      <w:r>
        <w:t>In a desire to produce more c</w:t>
      </w:r>
      <w:r w:rsidR="003E1CDD">
        <w:t>omplete and accurate data, Renner</w:t>
      </w:r>
      <w:r>
        <w:t xml:space="preserve"> emailed </w:t>
      </w:r>
      <w:r w:rsidR="003E1CDD">
        <w:t xml:space="preserve">Bounds </w:t>
      </w:r>
      <w:r>
        <w:t>on February 15 to request a list of all</w:t>
      </w:r>
      <w:r w:rsidR="003E1CDD">
        <w:t xml:space="preserve"> faculty salaries at NAU. Bounds </w:t>
      </w:r>
      <w:r>
        <w:t>responded the next day, explaining the factors that needed to be taken into consideration when doing pay equity research. He also mentioned that he had already requested “a good data set for just this kind of question” from IRA and that IRA was “on it and will get it to us ASAP” but that they were currently busy with ano</w:t>
      </w:r>
      <w:r w:rsidR="003E1CDD">
        <w:t>ther project. In response, Renner</w:t>
      </w:r>
      <w:r>
        <w:t xml:space="preserve"> offered to do the research herself and, based on </w:t>
      </w:r>
      <w:r w:rsidR="000C1898">
        <w:t>Bounds’</w:t>
      </w:r>
      <w:r>
        <w:t xml:space="preserve"> recommendations, asked for “[a]n excel sheet with CIP [Classification of Instructional Programs] code, rank, years in rank, gender, and salary.” She also offered to discuss methodology before doing any computations and stressed that she would share the results afterward.</w:t>
      </w:r>
    </w:p>
    <w:p w14:paraId="693FA1C2" w14:textId="77777777" w:rsidR="008343B1" w:rsidRDefault="008343B1" w:rsidP="008343B1"/>
    <w:p w14:paraId="492D850A" w14:textId="53B81C73" w:rsidR="008343B1" w:rsidRDefault="008343B1" w:rsidP="008343B1">
      <w:pPr>
        <w:jc w:val="both"/>
      </w:pPr>
      <w:r>
        <w:t>No</w:t>
      </w:r>
      <w:r w:rsidR="003E1CDD">
        <w:t>t receiving a reply, Renner</w:t>
      </w:r>
      <w:r>
        <w:t xml:space="preserve"> follo</w:t>
      </w:r>
      <w:r w:rsidR="003E1CDD">
        <w:t>wed up on Feb. 28. She let Bounds</w:t>
      </w:r>
      <w:r>
        <w:t xml:space="preserve"> know that her preliminary research suggested that “the introduction of NTT ranks ha[d] increased gender inequity, at least in the past five years.” After a few exchanges, </w:t>
      </w:r>
      <w:r w:rsidR="000C1898">
        <w:t xml:space="preserve">Bounds </w:t>
      </w:r>
      <w:r>
        <w:t>then wrote on March 7 that he would arrange a meeting with her, him, and Laura Jones, the Chief Institutional Data Officer, “to explain the nuances and make sure [I] ha[d] good data.” A meeting was set up for March</w:t>
      </w:r>
      <w:r w:rsidR="003E1CDD">
        <w:t xml:space="preserve"> 27. However, on that day, Bounds</w:t>
      </w:r>
      <w:r>
        <w:t xml:space="preserve"> cancelled the meeting. </w:t>
      </w:r>
    </w:p>
    <w:p w14:paraId="7255AA3F" w14:textId="77777777" w:rsidR="008343B1" w:rsidRDefault="008343B1" w:rsidP="008343B1"/>
    <w:p w14:paraId="5B711604" w14:textId="2D8907F3" w:rsidR="008343B1" w:rsidRDefault="003E1CDD" w:rsidP="008343B1">
      <w:pPr>
        <w:jc w:val="both"/>
      </w:pPr>
      <w:r>
        <w:t>Renner</w:t>
      </w:r>
      <w:r w:rsidR="008343B1">
        <w:t xml:space="preserve"> then approached the co-chairs of the Commission on the Status of Women (CSW), Debra Edgerton and Sharon Gorman, with her research and asked for their assistance gathering more data. CSW made several requests for data in April 2018. </w:t>
      </w:r>
      <w:r w:rsidR="00116B39">
        <w:t xml:space="preserve">Renner </w:t>
      </w:r>
      <w:r w:rsidR="008343B1">
        <w:t>shared her research with CSW at their meeting on April 23, 2018, and officially joined the Data Collection</w:t>
      </w:r>
      <w:r w:rsidR="00116B39">
        <w:t xml:space="preserve"> sub-committee. On May 15, Renner shared more research with Bounds</w:t>
      </w:r>
      <w:r w:rsidR="008343B1">
        <w:t xml:space="preserve"> and made another request for data</w:t>
      </w:r>
      <w:r w:rsidR="00116B39">
        <w:t>.  Renner</w:t>
      </w:r>
      <w:r w:rsidR="008343B1">
        <w:t xml:space="preserve"> and </w:t>
      </w:r>
      <w:r w:rsidR="000C1898">
        <w:t xml:space="preserve">Bounds </w:t>
      </w:r>
      <w:r w:rsidR="008343B1">
        <w:t xml:space="preserve">met shortly after; during the meeting, </w:t>
      </w:r>
      <w:r w:rsidR="00116B39">
        <w:t>Bound</w:t>
      </w:r>
      <w:r w:rsidR="008343B1">
        <w:t xml:space="preserve">r mentioned the possibility that an independent company might be hired to do research on the issue. On August 30, </w:t>
      </w:r>
      <w:r w:rsidR="00116B39">
        <w:t xml:space="preserve">Renner </w:t>
      </w:r>
      <w:r w:rsidR="008343B1">
        <w:t xml:space="preserve">emailed </w:t>
      </w:r>
      <w:r w:rsidR="00116B39">
        <w:t xml:space="preserve">Bounds </w:t>
      </w:r>
      <w:r w:rsidR="008343B1">
        <w:t xml:space="preserve">to follow up. Receiving no answer and expecting no new data, she then began working on a formal report for CSW using the most recent data available. As she was finishing up the report in march 2019, </w:t>
      </w:r>
      <w:r w:rsidR="00116B39">
        <w:t xml:space="preserve">Renner </w:t>
      </w:r>
      <w:r w:rsidR="008343B1">
        <w:t>followed up again with</w:t>
      </w:r>
      <w:r w:rsidR="00116B39">
        <w:t xml:space="preserve"> Bounds</w:t>
      </w:r>
      <w:r w:rsidR="008343B1">
        <w:t xml:space="preserve">, but he had no new information about the hiring of such a company. </w:t>
      </w:r>
      <w:r w:rsidR="00116B39">
        <w:t xml:space="preserve">Renner </w:t>
      </w:r>
      <w:r w:rsidR="008343B1">
        <w:t>shared a draft of the report with CSW in March and with other groups from whom she hoped to gather feedback, including Roger</w:t>
      </w:r>
      <w:r w:rsidR="00116B39">
        <w:t xml:space="preserve"> Bounds</w:t>
      </w:r>
      <w:r w:rsidR="008343B1">
        <w:t>, Priscilla Mills (</w:t>
      </w:r>
      <w:r w:rsidR="008343B1" w:rsidRPr="00F84A90">
        <w:rPr>
          <w:lang w:val="en-US"/>
        </w:rPr>
        <w:t>Assistant Vice President for Equity Compliance</w:t>
      </w:r>
      <w:r w:rsidR="008343B1">
        <w:t xml:space="preserve">), the NTT Council, the Commission on Ethnic Diversity; and the Faculty Senate Executive Committee. </w:t>
      </w:r>
    </w:p>
    <w:p w14:paraId="1C667D48" w14:textId="77777777" w:rsidR="008343B1" w:rsidRDefault="008343B1" w:rsidP="008343B1">
      <w:pPr>
        <w:jc w:val="both"/>
      </w:pPr>
    </w:p>
    <w:p w14:paraId="22E1073A" w14:textId="240F2797" w:rsidR="008343B1" w:rsidRDefault="008343B1" w:rsidP="008343B1">
      <w:pPr>
        <w:jc w:val="both"/>
      </w:pPr>
      <w:r>
        <w:t xml:space="preserve">At the final CSW meeting of the year in April, a majority of the commissioners present decided that the results of the report should be shared with NAU leadership and the community as well as on the CSW website in support of information transparency. After the meeting, Debra Edgerton, then co-chair, </w:t>
      </w:r>
      <w:r w:rsidR="00116B39">
        <w:t>emailed Renner</w:t>
      </w:r>
      <w:r>
        <w:t xml:space="preserve"> that she personally disagreed with the decision to post the report on the CSW website and therefore did not want her name associated with the report, even though a majority of commissioners had voted to do so. She wrote that “when the report goes out, it can come from the commission under its name, but if you sign it, it can only be signed by you. (Or you can sign it from the commission).” </w:t>
      </w:r>
    </w:p>
    <w:p w14:paraId="2DDF0E45" w14:textId="77777777" w:rsidR="008343B1" w:rsidRDefault="008343B1" w:rsidP="008343B1">
      <w:pPr>
        <w:jc w:val="both"/>
      </w:pPr>
    </w:p>
    <w:p w14:paraId="61332A82" w14:textId="1CEDFD37" w:rsidR="008343B1" w:rsidRPr="00F84A90" w:rsidRDefault="008343B1" w:rsidP="008343B1">
      <w:pPr>
        <w:jc w:val="both"/>
        <w:rPr>
          <w:lang w:val="en-US"/>
        </w:rPr>
      </w:pPr>
      <w:r>
        <w:t>However, before t</w:t>
      </w:r>
      <w:r w:rsidR="00116B39">
        <w:t>he report could be shared, Renner</w:t>
      </w:r>
      <w:r>
        <w:t xml:space="preserve"> received an email from Priscilla</w:t>
      </w:r>
      <w:r w:rsidR="00116B39">
        <w:t xml:space="preserve"> Mills</w:t>
      </w:r>
      <w:r>
        <w:rPr>
          <w:lang w:val="en-US"/>
        </w:rPr>
        <w:t xml:space="preserve"> </w:t>
      </w:r>
      <w:r>
        <w:t xml:space="preserve">on May 6 that read as follows: </w:t>
      </w:r>
    </w:p>
    <w:p w14:paraId="02F294F9" w14:textId="77777777" w:rsidR="008343B1" w:rsidRDefault="008343B1" w:rsidP="008343B1">
      <w:pPr>
        <w:jc w:val="both"/>
      </w:pPr>
    </w:p>
    <w:p w14:paraId="2F49BC78" w14:textId="77777777" w:rsidR="008343B1" w:rsidRDefault="008343B1" w:rsidP="008343B1">
      <w:pPr>
        <w:jc w:val="both"/>
      </w:pPr>
      <w:r>
        <w:rPr>
          <w:noProof/>
          <w:lang w:val="en-US"/>
        </w:rPr>
        <w:drawing>
          <wp:inline distT="0" distB="0" distL="0" distR="0" wp14:anchorId="6F3BB279" wp14:editId="603AC796">
            <wp:extent cx="6858000" cy="2518410"/>
            <wp:effectExtent l="25400" t="25400" r="2540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7-19 at 11.39.54 AM.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2518410"/>
                    </a:xfrm>
                    <a:prstGeom prst="rect">
                      <a:avLst/>
                    </a:prstGeom>
                    <a:ln>
                      <a:solidFill>
                        <a:schemeClr val="tx1"/>
                      </a:solidFill>
                    </a:ln>
                  </pic:spPr>
                </pic:pic>
              </a:graphicData>
            </a:graphic>
          </wp:inline>
        </w:drawing>
      </w:r>
    </w:p>
    <w:p w14:paraId="3AD02149" w14:textId="77777777" w:rsidR="008343B1" w:rsidRDefault="008343B1" w:rsidP="008343B1">
      <w:pPr>
        <w:jc w:val="both"/>
      </w:pPr>
    </w:p>
    <w:p w14:paraId="5D99C842" w14:textId="3BFC227A" w:rsidR="008343B1" w:rsidRDefault="008343B1" w:rsidP="008343B1">
      <w:pPr>
        <w:jc w:val="both"/>
      </w:pPr>
      <w:r>
        <w:t xml:space="preserve">Essentially, the very information that CSW had requested multiple times in order to produce a more robust report was now being used to rule out the validity of the report. </w:t>
      </w:r>
      <w:r w:rsidR="00116B39">
        <w:t>Renner</w:t>
      </w:r>
      <w:r>
        <w:t xml:space="preserve"> forwarded the email to the new co-chairs, Sanjam Ahluwalia and Frances Riemer, and asked how she should proceed. </w:t>
      </w:r>
    </w:p>
    <w:p w14:paraId="6FA4648A" w14:textId="77777777" w:rsidR="008343B1" w:rsidRDefault="008343B1" w:rsidP="008343B1">
      <w:pPr>
        <w:jc w:val="both"/>
      </w:pPr>
    </w:p>
    <w:p w14:paraId="10B1F6CD" w14:textId="713FB869" w:rsidR="008343B1" w:rsidRDefault="00116B39" w:rsidP="008343B1">
      <w:pPr>
        <w:jc w:val="both"/>
      </w:pPr>
      <w:r>
        <w:t>On May 18, Renner</w:t>
      </w:r>
      <w:r w:rsidR="008343B1">
        <w:t xml:space="preserve"> then received an email from Debra</w:t>
      </w:r>
      <w:r>
        <w:t xml:space="preserve"> Edgerton</w:t>
      </w:r>
      <w:r w:rsidR="008343B1">
        <w:t xml:space="preserve"> explaining that she was working on the CSW annual report and asking for an update about the</w:t>
      </w:r>
      <w:r>
        <w:t xml:space="preserve"> pay equity report. Renner</w:t>
      </w:r>
      <w:r w:rsidR="008343B1">
        <w:t xml:space="preserve"> </w:t>
      </w:r>
      <w:r>
        <w:t>forwarded</w:t>
      </w:r>
      <w:r w:rsidR="008343B1">
        <w:t xml:space="preserve"> the above information and asked to see the full report. </w:t>
      </w:r>
      <w:r>
        <w:t xml:space="preserve"> Edgerton </w:t>
      </w:r>
      <w:r w:rsidR="008343B1">
        <w:t xml:space="preserve">refused to share the report with her or, ultimately, to allow </w:t>
      </w:r>
      <w:r>
        <w:t xml:space="preserve">Renner </w:t>
      </w:r>
      <w:r w:rsidR="008343B1">
        <w:t xml:space="preserve">to give any input, even though </w:t>
      </w:r>
      <w:r>
        <w:t xml:space="preserve">Renner </w:t>
      </w:r>
      <w:r w:rsidR="008343B1">
        <w:t xml:space="preserve">had acted as co-chair from October to May. </w:t>
      </w:r>
      <w:r>
        <w:t xml:space="preserve"> Renner </w:t>
      </w:r>
      <w:r w:rsidR="008343B1">
        <w:t xml:space="preserve">then emailed Priscilla to apprise her of the situation and sent her some language that she wished to be included-- she felt it was especially important that Dr. Cheng be apprised of the report and its outcome. Priscilla responded with the following email: </w:t>
      </w:r>
    </w:p>
    <w:p w14:paraId="1655C2E8" w14:textId="77777777" w:rsidR="008343B1" w:rsidRDefault="008343B1" w:rsidP="008343B1">
      <w:pPr>
        <w:jc w:val="both"/>
      </w:pPr>
    </w:p>
    <w:p w14:paraId="73230D1A" w14:textId="77777777" w:rsidR="008343B1" w:rsidRDefault="008343B1" w:rsidP="008343B1">
      <w:pPr>
        <w:jc w:val="both"/>
      </w:pPr>
      <w:r>
        <w:rPr>
          <w:noProof/>
          <w:lang w:val="en-US"/>
        </w:rPr>
        <w:drawing>
          <wp:inline distT="0" distB="0" distL="0" distR="0" wp14:anchorId="4A07BA9B" wp14:editId="258EA27A">
            <wp:extent cx="6858000" cy="1322070"/>
            <wp:effectExtent l="25400" t="25400" r="25400"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7-19 at 11.38.01 AM.png"/>
                    <pic:cNvPicPr/>
                  </pic:nvPicPr>
                  <pic:blipFill>
                    <a:blip r:embed="rId32">
                      <a:extLst>
                        <a:ext uri="{28A0092B-C50C-407E-A947-70E740481C1C}">
                          <a14:useLocalDpi xmlns:a14="http://schemas.microsoft.com/office/drawing/2010/main" val="0"/>
                        </a:ext>
                      </a:extLst>
                    </a:blip>
                    <a:stretch>
                      <a:fillRect/>
                    </a:stretch>
                  </pic:blipFill>
                  <pic:spPr>
                    <a:xfrm>
                      <a:off x="0" y="0"/>
                      <a:ext cx="6858000" cy="1322070"/>
                    </a:xfrm>
                    <a:prstGeom prst="rect">
                      <a:avLst/>
                    </a:prstGeom>
                    <a:ln>
                      <a:solidFill>
                        <a:schemeClr val="tx1"/>
                      </a:solidFill>
                    </a:ln>
                  </pic:spPr>
                </pic:pic>
              </a:graphicData>
            </a:graphic>
          </wp:inline>
        </w:drawing>
      </w:r>
      <w:r>
        <w:t xml:space="preserve"> </w:t>
      </w:r>
    </w:p>
    <w:p w14:paraId="22BAA1F2" w14:textId="77777777" w:rsidR="008343B1" w:rsidRDefault="008343B1" w:rsidP="008343B1">
      <w:pPr>
        <w:jc w:val="both"/>
      </w:pPr>
    </w:p>
    <w:p w14:paraId="6CE3925C" w14:textId="224209A6" w:rsidR="008343B1" w:rsidRDefault="00116B39" w:rsidP="008343B1">
      <w:pPr>
        <w:jc w:val="both"/>
      </w:pPr>
      <w:r>
        <w:t>As of July 19, Renner had</w:t>
      </w:r>
      <w:r w:rsidR="008343B1">
        <w:t xml:space="preserve"> not received a response. </w:t>
      </w:r>
    </w:p>
    <w:p w14:paraId="7172BE44" w14:textId="77777777" w:rsidR="008343B1" w:rsidRDefault="008343B1" w:rsidP="008343B1">
      <w:pPr>
        <w:jc w:val="both"/>
      </w:pPr>
    </w:p>
    <w:p w14:paraId="59FA37CE" w14:textId="2AA8AB6C" w:rsidR="008343B1" w:rsidRDefault="00116B39" w:rsidP="008343B1">
      <w:pPr>
        <w:jc w:val="both"/>
      </w:pPr>
      <w:r>
        <w:t>Renner</w:t>
      </w:r>
      <w:r w:rsidR="008343B1">
        <w:t xml:space="preserve"> added in information about the events that took place in May and forwarded the information again to the Faculty Senate and the co-chairs of CSW. </w:t>
      </w:r>
      <w:r>
        <w:t xml:space="preserve">The report was also forwarded </w:t>
      </w:r>
      <w:r w:rsidR="008343B1">
        <w:t xml:space="preserve">to Brittany Blanchard to be placed in the Open Knowledge archive and to Sean Evans, of Special Collections, in case they would like to preserve a copy there since another similar pay equity report from 1990 is housed there (LB2334.3.A6 A535). </w:t>
      </w:r>
    </w:p>
    <w:p w14:paraId="31F8E4CD" w14:textId="77777777" w:rsidR="008343B1" w:rsidRDefault="008343B1">
      <w:pPr>
        <w:jc w:val="both"/>
        <w:sectPr w:rsidR="008343B1">
          <w:headerReference w:type="default" r:id="rId33"/>
          <w:headerReference w:type="first" r:id="rId34"/>
          <w:footerReference w:type="first" r:id="rId35"/>
          <w:pgSz w:w="12240" w:h="15840"/>
          <w:pgMar w:top="720" w:right="720" w:bottom="720" w:left="720" w:header="360" w:footer="720" w:gutter="0"/>
          <w:pgNumType w:start="1"/>
          <w:cols w:space="720" w:equalWidth="0">
            <w:col w:w="10800" w:space="0"/>
          </w:cols>
          <w:titlePg/>
        </w:sectPr>
      </w:pPr>
    </w:p>
    <w:p w14:paraId="764DB433" w14:textId="77777777" w:rsidR="00DD0898" w:rsidRDefault="00DD0898"/>
    <w:sectPr w:rsidR="00DD0898">
      <w:type w:val="continuous"/>
      <w:pgSz w:w="12240" w:h="15840"/>
      <w:pgMar w:top="720" w:right="720" w:bottom="720" w:left="720" w:header="360" w:footer="720" w:gutter="0"/>
      <w:cols w:space="720" w:equalWidth="0">
        <w:col w:w="1080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63F52" w14:textId="77777777" w:rsidR="00C425DC" w:rsidRDefault="00C425DC">
      <w:pPr>
        <w:spacing w:line="240" w:lineRule="auto"/>
      </w:pPr>
      <w:r>
        <w:separator/>
      </w:r>
    </w:p>
  </w:endnote>
  <w:endnote w:type="continuationSeparator" w:id="0">
    <w:p w14:paraId="4660D7A0" w14:textId="77777777" w:rsidR="00C425DC" w:rsidRDefault="00C425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C783B" w14:textId="77777777" w:rsidR="00615873" w:rsidRDefault="006158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CD7DBD" w14:textId="77777777" w:rsidR="00C425DC" w:rsidRDefault="00C425DC">
      <w:pPr>
        <w:spacing w:line="240" w:lineRule="auto"/>
      </w:pPr>
      <w:r>
        <w:separator/>
      </w:r>
    </w:p>
  </w:footnote>
  <w:footnote w:type="continuationSeparator" w:id="0">
    <w:p w14:paraId="26438EF5" w14:textId="77777777" w:rsidR="00C425DC" w:rsidRDefault="00C425DC">
      <w:pPr>
        <w:spacing w:line="240" w:lineRule="auto"/>
      </w:pPr>
      <w:r>
        <w:continuationSeparator/>
      </w:r>
    </w:p>
  </w:footnote>
  <w:footnote w:id="1">
    <w:p w14:paraId="06E545DC" w14:textId="77777777" w:rsidR="00615873" w:rsidRDefault="00615873">
      <w:pPr>
        <w:spacing w:line="240" w:lineRule="auto"/>
        <w:rPr>
          <w:sz w:val="20"/>
          <w:szCs w:val="20"/>
        </w:rPr>
      </w:pPr>
      <w:r>
        <w:rPr>
          <w:vertAlign w:val="superscript"/>
        </w:rPr>
        <w:footnoteRef/>
      </w:r>
      <w:r>
        <w:rPr>
          <w:sz w:val="20"/>
          <w:szCs w:val="20"/>
        </w:rPr>
        <w:t xml:space="preserve"> </w:t>
      </w:r>
      <w:hyperlink r:id="rId1">
        <w:r>
          <w:rPr>
            <w:color w:val="1155CC"/>
            <w:u w:val="single"/>
          </w:rPr>
          <w:t>https://www7.nau.edu/pair/reports/FacultyTrend</w:t>
        </w:r>
      </w:hyperlink>
      <w:r>
        <w:rPr>
          <w:sz w:val="20"/>
          <w:szCs w:val="20"/>
        </w:rPr>
        <w:t xml:space="preserve">, “Average Salary by Rank, Gender.” As of March 18, 2019. </w:t>
      </w:r>
    </w:p>
  </w:footnote>
  <w:footnote w:id="2">
    <w:p w14:paraId="24B5B0DC" w14:textId="77777777" w:rsidR="00615873" w:rsidRDefault="00615873">
      <w:pPr>
        <w:spacing w:line="240" w:lineRule="auto"/>
        <w:rPr>
          <w:sz w:val="20"/>
          <w:szCs w:val="20"/>
        </w:rPr>
      </w:pPr>
      <w:r>
        <w:rPr>
          <w:vertAlign w:val="superscript"/>
        </w:rPr>
        <w:footnoteRef/>
      </w:r>
      <w:r>
        <w:rPr>
          <w:sz w:val="20"/>
          <w:szCs w:val="20"/>
        </w:rPr>
        <w:t xml:space="preserve"> </w:t>
      </w:r>
      <w:hyperlink r:id="rId2">
        <w:r>
          <w:rPr>
            <w:color w:val="1155CC"/>
            <w:u w:val="single"/>
          </w:rPr>
          <w:t>https://in.nau.edu/institutional-research/quick-facts/</w:t>
        </w:r>
      </w:hyperlink>
      <w:r>
        <w:rPr>
          <w:sz w:val="20"/>
          <w:szCs w:val="20"/>
        </w:rPr>
        <w:t>, “Fall 2018 Full-Time Faculty by Tenure and Rank.”</w:t>
      </w:r>
    </w:p>
  </w:footnote>
  <w:footnote w:id="3">
    <w:p w14:paraId="694EBAA4" w14:textId="77777777" w:rsidR="00615873" w:rsidRDefault="00615873">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https://in.nau.edu/wp-content/uploads/sites/129/2019/03/2017_2018FactBook.pdf</w:t>
        </w:r>
      </w:hyperlink>
      <w:r>
        <w:rPr>
          <w:sz w:val="20"/>
          <w:szCs w:val="20"/>
        </w:rPr>
        <w:t xml:space="preserve">, p. J4. </w:t>
      </w:r>
    </w:p>
  </w:footnote>
  <w:footnote w:id="4">
    <w:p w14:paraId="0C5B13CD" w14:textId="77777777" w:rsidR="00615873" w:rsidRDefault="00615873">
      <w:pPr>
        <w:spacing w:line="240" w:lineRule="auto"/>
        <w:rPr>
          <w:sz w:val="20"/>
          <w:szCs w:val="20"/>
        </w:rPr>
      </w:pPr>
      <w:r>
        <w:rPr>
          <w:vertAlign w:val="superscript"/>
        </w:rPr>
        <w:footnoteRef/>
      </w:r>
      <w:r>
        <w:rPr>
          <w:sz w:val="20"/>
          <w:szCs w:val="20"/>
        </w:rPr>
        <w:t xml:space="preserve"> See Fall 2017 Quick Facts, p. 9. </w:t>
      </w:r>
      <w:hyperlink r:id="rId4">
        <w:r>
          <w:rPr>
            <w:color w:val="1155CC"/>
            <w:sz w:val="20"/>
            <w:szCs w:val="20"/>
            <w:u w:val="single"/>
          </w:rPr>
          <w:t>https://in.nau.edu/wp-content/uploads/sites/129/2018/10/Fall2017QF.pdf</w:t>
        </w:r>
      </w:hyperlink>
      <w:r>
        <w:rPr>
          <w:sz w:val="20"/>
          <w:szCs w:val="20"/>
        </w:rPr>
        <w:t xml:space="preserve">. </w:t>
      </w:r>
    </w:p>
  </w:footnote>
  <w:footnote w:id="5">
    <w:p w14:paraId="1D135A5E" w14:textId="77777777" w:rsidR="00615873" w:rsidRDefault="00615873">
      <w:pPr>
        <w:spacing w:line="240" w:lineRule="auto"/>
        <w:rPr>
          <w:sz w:val="20"/>
          <w:szCs w:val="20"/>
        </w:rPr>
      </w:pPr>
      <w:r>
        <w:rPr>
          <w:vertAlign w:val="superscript"/>
        </w:rPr>
        <w:footnoteRef/>
      </w:r>
      <w:r>
        <w:rPr>
          <w:sz w:val="20"/>
          <w:szCs w:val="20"/>
        </w:rPr>
        <w:t xml:space="preserve"> To access this data, go to </w:t>
      </w:r>
      <w:hyperlink r:id="rId5">
        <w:r>
          <w:rPr>
            <w:color w:val="1155CC"/>
            <w:sz w:val="20"/>
            <w:szCs w:val="20"/>
            <w:u w:val="single"/>
          </w:rPr>
          <w:t>https://nces.ed.gov/ipeds/</w:t>
        </w:r>
      </w:hyperlink>
      <w:r>
        <w:rPr>
          <w:sz w:val="20"/>
          <w:szCs w:val="20"/>
        </w:rPr>
        <w:t xml:space="preserve">, select “Use the Data,” and “Look up an Institution.” After inputting Northern Arizona University (ID# 105330), select “Reported Data,” choose the year you wish to examine, and select “Human Resources.” </w:t>
      </w:r>
    </w:p>
  </w:footnote>
  <w:footnote w:id="6">
    <w:p w14:paraId="0A7E9926" w14:textId="77777777" w:rsidR="00615873" w:rsidRDefault="00615873">
      <w:pPr>
        <w:spacing w:line="240" w:lineRule="auto"/>
        <w:rPr>
          <w:sz w:val="20"/>
          <w:szCs w:val="20"/>
        </w:rPr>
      </w:pPr>
      <w:r>
        <w:rPr>
          <w:vertAlign w:val="superscript"/>
        </w:rPr>
        <w:footnoteRef/>
      </w:r>
      <w:r>
        <w:rPr>
          <w:sz w:val="20"/>
          <w:szCs w:val="20"/>
        </w:rPr>
        <w:t xml:space="preserve"> Budget Books can be found here: </w:t>
      </w:r>
      <w:hyperlink r:id="rId6">
        <w:r>
          <w:rPr>
            <w:color w:val="1155CC"/>
            <w:sz w:val="20"/>
            <w:szCs w:val="20"/>
            <w:u w:val="single"/>
          </w:rPr>
          <w:t>https://nau.edu/budget/reports/</w:t>
        </w:r>
      </w:hyperlink>
      <w:r>
        <w:rPr>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420F8" w14:textId="77777777" w:rsidR="00615873" w:rsidRDefault="00615873">
    <w:pPr>
      <w:jc w:val="right"/>
    </w:pPr>
    <w:r>
      <w:fldChar w:fldCharType="begin"/>
    </w:r>
    <w:r>
      <w:instrText>PAGE</w:instrText>
    </w:r>
    <w:r>
      <w:fldChar w:fldCharType="separate"/>
    </w:r>
    <w:r w:rsidR="00331281">
      <w:rPr>
        <w:noProof/>
      </w:rPr>
      <w:t>13</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FF781" w14:textId="77777777" w:rsidR="00615873" w:rsidRDefault="00615873">
    <w:r>
      <w:rPr>
        <w:noProof/>
        <w:lang w:val="en-US"/>
      </w:rPr>
      <w:drawing>
        <wp:inline distT="114300" distB="114300" distL="114300" distR="114300" wp14:anchorId="1A50601A" wp14:editId="188379D3">
          <wp:extent cx="6858000" cy="11176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58000" cy="11176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898"/>
    <w:rsid w:val="000C1898"/>
    <w:rsid w:val="000D335E"/>
    <w:rsid w:val="00116B39"/>
    <w:rsid w:val="0032050E"/>
    <w:rsid w:val="00331281"/>
    <w:rsid w:val="00393421"/>
    <w:rsid w:val="003E1CDD"/>
    <w:rsid w:val="00615873"/>
    <w:rsid w:val="006C3744"/>
    <w:rsid w:val="006E7316"/>
    <w:rsid w:val="007E3F6F"/>
    <w:rsid w:val="008343B1"/>
    <w:rsid w:val="00885446"/>
    <w:rsid w:val="008A3FCB"/>
    <w:rsid w:val="00A03817"/>
    <w:rsid w:val="00AF75DF"/>
    <w:rsid w:val="00C11410"/>
    <w:rsid w:val="00C129A4"/>
    <w:rsid w:val="00C425DC"/>
    <w:rsid w:val="00D04E67"/>
    <w:rsid w:val="00D7214F"/>
    <w:rsid w:val="00DD0898"/>
    <w:rsid w:val="00E10A12"/>
    <w:rsid w:val="00F54A38"/>
    <w:rsid w:val="00F84A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8E159D"/>
  <w15:docId w15:val="{EB3881C1-317D-4585-BCC1-1804B5A46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9342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342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199245">
      <w:bodyDiv w:val="1"/>
      <w:marLeft w:val="0"/>
      <w:marRight w:val="0"/>
      <w:marTop w:val="0"/>
      <w:marBottom w:val="0"/>
      <w:divBdr>
        <w:top w:val="none" w:sz="0" w:space="0" w:color="auto"/>
        <w:left w:val="none" w:sz="0" w:space="0" w:color="auto"/>
        <w:bottom w:val="none" w:sz="0" w:space="0" w:color="auto"/>
        <w:right w:val="none" w:sz="0" w:space="0" w:color="auto"/>
      </w:divBdr>
    </w:div>
    <w:div w:id="1368798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21" Type="http://schemas.openxmlformats.org/officeDocument/2006/relationships/image" Target="media/image16.jpg"/><Relationship Id="rId34" Type="http://schemas.openxmlformats.org/officeDocument/2006/relationships/header" Target="header2.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footer" Target="footer1.xml"/><Relationship Id="rId8" Type="http://schemas.openxmlformats.org/officeDocument/2006/relationships/image" Target="media/image3.jpg"/><Relationship Id="rId3"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in.nau.edu/wp-content/uploads/sites/129/2019/03/2017_2018FactBook.pdf" TargetMode="External"/><Relationship Id="rId2" Type="http://schemas.openxmlformats.org/officeDocument/2006/relationships/hyperlink" Target="https://in.nau.edu/institutional-research/quick-facts/" TargetMode="External"/><Relationship Id="rId1" Type="http://schemas.openxmlformats.org/officeDocument/2006/relationships/hyperlink" Target="https://www7.nau.edu/pair/reports/FacultyTrend" TargetMode="External"/><Relationship Id="rId6" Type="http://schemas.openxmlformats.org/officeDocument/2006/relationships/hyperlink" Target="https://nau.edu/budget/reports/" TargetMode="External"/><Relationship Id="rId5" Type="http://schemas.openxmlformats.org/officeDocument/2006/relationships/hyperlink" Target="https://nces.ed.gov/ipeds/" TargetMode="External"/><Relationship Id="rId4" Type="http://schemas.openxmlformats.org/officeDocument/2006/relationships/hyperlink" Target="https://in.nau.edu/wp-content/uploads/sites/129/2018/10/Fall2017QF.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2494</Words>
  <Characters>14218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nau</Company>
  <LinksUpToDate>false</LinksUpToDate>
  <CharactersWithSpaces>16679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Lipschultz</dc:creator>
  <cp:lastModifiedBy>Amy Lipschultz</cp:lastModifiedBy>
  <cp:revision>2</cp:revision>
  <dcterms:created xsi:type="dcterms:W3CDTF">2020-02-12T21:14:00Z</dcterms:created>
  <dcterms:modified xsi:type="dcterms:W3CDTF">2020-02-12T21:14:00Z</dcterms:modified>
</cp:coreProperties>
</file>