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0B7FA" w14:textId="4754E94D" w:rsidR="00D03602" w:rsidRPr="00D54CD7" w:rsidRDefault="00D03602" w:rsidP="00D54CD7">
      <w:pPr>
        <w:spacing w:after="8" w:line="259" w:lineRule="auto"/>
        <w:rPr>
          <w:sz w:val="10"/>
          <w:szCs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6640"/>
      </w:tblGrid>
      <w:tr w:rsidR="00266C64" w14:paraId="7E39EAAD" w14:textId="77777777" w:rsidTr="00D54CD7">
        <w:tc>
          <w:tcPr>
            <w:tcW w:w="3325" w:type="dxa"/>
          </w:tcPr>
          <w:p w14:paraId="02882372" w14:textId="2A86CD50" w:rsidR="00266C64" w:rsidRDefault="00D54CD7" w:rsidP="00D54CD7">
            <w:pPr>
              <w:spacing w:after="0" w:line="259" w:lineRule="auto"/>
              <w:ind w:left="0" w:right="43" w:firstLine="0"/>
              <w:rPr>
                <w:b/>
                <w:color w:val="182756"/>
                <w:sz w:val="32"/>
              </w:rPr>
            </w:pPr>
            <w:r>
              <w:rPr>
                <w:b/>
                <w:noProof/>
                <w:color w:val="182756"/>
                <w:sz w:val="32"/>
              </w:rPr>
              <w:drawing>
                <wp:inline distT="0" distB="0" distL="0" distR="0" wp14:anchorId="107F3322" wp14:editId="57880340">
                  <wp:extent cx="967946" cy="762000"/>
                  <wp:effectExtent l="0" t="0" r="3810" b="0"/>
                  <wp:docPr id="98691424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914242" name="Picture 986914242"/>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4941" cy="775379"/>
                          </a:xfrm>
                          <a:prstGeom prst="rect">
                            <a:avLst/>
                          </a:prstGeom>
                        </pic:spPr>
                      </pic:pic>
                    </a:graphicData>
                  </a:graphic>
                </wp:inline>
              </w:drawing>
            </w:r>
          </w:p>
        </w:tc>
        <w:tc>
          <w:tcPr>
            <w:tcW w:w="6640" w:type="dxa"/>
          </w:tcPr>
          <w:p w14:paraId="3B29E8A5" w14:textId="77777777" w:rsidR="00D54CD7" w:rsidRDefault="00D54CD7" w:rsidP="00D54CD7">
            <w:pPr>
              <w:spacing w:after="0" w:line="259" w:lineRule="auto"/>
              <w:ind w:left="0" w:right="43" w:firstLine="0"/>
              <w:jc w:val="right"/>
              <w:rPr>
                <w:bCs/>
                <w:color w:val="182756"/>
                <w:szCs w:val="20"/>
              </w:rPr>
            </w:pPr>
            <w:r w:rsidRPr="00D54CD7">
              <w:rPr>
                <w:bCs/>
                <w:color w:val="182756"/>
                <w:szCs w:val="20"/>
              </w:rPr>
              <w:t xml:space="preserve">Responsible Executive: Provost and Vice President for Academic Affairs </w:t>
            </w:r>
          </w:p>
          <w:p w14:paraId="05DB4FF7" w14:textId="77777777" w:rsidR="00D54CD7" w:rsidRDefault="00D54CD7" w:rsidP="00D54CD7">
            <w:pPr>
              <w:spacing w:after="0" w:line="259" w:lineRule="auto"/>
              <w:ind w:left="0" w:right="43" w:firstLine="0"/>
              <w:jc w:val="right"/>
              <w:rPr>
                <w:bCs/>
                <w:color w:val="182756"/>
                <w:szCs w:val="20"/>
              </w:rPr>
            </w:pPr>
            <w:r w:rsidRPr="00D54CD7">
              <w:rPr>
                <w:bCs/>
                <w:color w:val="182756"/>
                <w:szCs w:val="20"/>
              </w:rPr>
              <w:t xml:space="preserve">Responsible Office: Vice Provost for Academic Operations </w:t>
            </w:r>
          </w:p>
          <w:p w14:paraId="4F98F306" w14:textId="77777777" w:rsidR="00D54CD7" w:rsidRDefault="00D54CD7" w:rsidP="00D54CD7">
            <w:pPr>
              <w:spacing w:after="0" w:line="259" w:lineRule="auto"/>
              <w:ind w:left="0" w:right="43" w:firstLine="0"/>
              <w:jc w:val="right"/>
              <w:rPr>
                <w:bCs/>
                <w:color w:val="182756"/>
                <w:szCs w:val="20"/>
              </w:rPr>
            </w:pPr>
            <w:r w:rsidRPr="00D54CD7">
              <w:rPr>
                <w:bCs/>
                <w:color w:val="182756"/>
                <w:szCs w:val="20"/>
              </w:rPr>
              <w:t xml:space="preserve">Effective Date: December 20, 2012 </w:t>
            </w:r>
          </w:p>
          <w:p w14:paraId="3BC48BF4" w14:textId="4997620A" w:rsidR="00266C64" w:rsidRPr="00D54CD7" w:rsidRDefault="00D54CD7" w:rsidP="00D54CD7">
            <w:pPr>
              <w:spacing w:after="0" w:line="259" w:lineRule="auto"/>
              <w:ind w:left="0" w:right="43" w:firstLine="0"/>
              <w:jc w:val="right"/>
              <w:rPr>
                <w:bCs/>
                <w:color w:val="182756"/>
                <w:sz w:val="22"/>
                <w:szCs w:val="22"/>
              </w:rPr>
            </w:pPr>
            <w:r w:rsidRPr="00D54CD7">
              <w:rPr>
                <w:bCs/>
                <w:color w:val="182756"/>
                <w:szCs w:val="20"/>
              </w:rPr>
              <w:t>Last Revised: August 18, 2020</w:t>
            </w:r>
          </w:p>
        </w:tc>
      </w:tr>
    </w:tbl>
    <w:p w14:paraId="0C396790" w14:textId="77777777" w:rsidR="00266C64" w:rsidRPr="00D54CD7" w:rsidRDefault="00266C64">
      <w:pPr>
        <w:spacing w:after="0" w:line="259" w:lineRule="auto"/>
        <w:ind w:left="0" w:right="43" w:firstLine="0"/>
        <w:jc w:val="center"/>
        <w:rPr>
          <w:b/>
          <w:color w:val="182756"/>
          <w:sz w:val="18"/>
          <w:szCs w:val="14"/>
        </w:rPr>
      </w:pPr>
    </w:p>
    <w:p w14:paraId="642EE32F" w14:textId="1306F032" w:rsidR="00D03602" w:rsidRPr="00A00CAA" w:rsidRDefault="00AA2C76">
      <w:pPr>
        <w:spacing w:after="0" w:line="259" w:lineRule="auto"/>
        <w:ind w:left="0" w:right="43" w:firstLine="0"/>
        <w:jc w:val="center"/>
        <w:rPr>
          <w:sz w:val="18"/>
          <w:szCs w:val="22"/>
        </w:rPr>
      </w:pPr>
      <w:r w:rsidRPr="00A00CAA">
        <w:rPr>
          <w:b/>
          <w:color w:val="182756"/>
          <w:sz w:val="28"/>
          <w:szCs w:val="22"/>
        </w:rPr>
        <w:t>S</w:t>
      </w:r>
      <w:r w:rsidRPr="00A00CAA">
        <w:rPr>
          <w:b/>
          <w:color w:val="182756"/>
          <w:sz w:val="24"/>
          <w:szCs w:val="22"/>
        </w:rPr>
        <w:t xml:space="preserve">TANDARD </w:t>
      </w:r>
      <w:r w:rsidRPr="00A00CAA">
        <w:rPr>
          <w:b/>
          <w:color w:val="182756"/>
          <w:sz w:val="28"/>
          <w:szCs w:val="22"/>
        </w:rPr>
        <w:t>C</w:t>
      </w:r>
      <w:r w:rsidRPr="00A00CAA">
        <w:rPr>
          <w:b/>
          <w:color w:val="182756"/>
          <w:sz w:val="24"/>
          <w:szCs w:val="22"/>
        </w:rPr>
        <w:t xml:space="preserve">LASS </w:t>
      </w:r>
      <w:r w:rsidRPr="00A00CAA">
        <w:rPr>
          <w:b/>
          <w:color w:val="182756"/>
          <w:sz w:val="28"/>
          <w:szCs w:val="22"/>
        </w:rPr>
        <w:t>M</w:t>
      </w:r>
      <w:r w:rsidRPr="00A00CAA">
        <w:rPr>
          <w:b/>
          <w:color w:val="182756"/>
          <w:sz w:val="24"/>
          <w:szCs w:val="22"/>
        </w:rPr>
        <w:t xml:space="preserve">EETING </w:t>
      </w:r>
      <w:r w:rsidRPr="00A00CAA">
        <w:rPr>
          <w:b/>
          <w:color w:val="182756"/>
          <w:sz w:val="28"/>
          <w:szCs w:val="22"/>
        </w:rPr>
        <w:t>T</w:t>
      </w:r>
      <w:r w:rsidRPr="00A00CAA">
        <w:rPr>
          <w:b/>
          <w:color w:val="182756"/>
          <w:sz w:val="24"/>
          <w:szCs w:val="22"/>
        </w:rPr>
        <w:t>IMES</w:t>
      </w:r>
      <w:r w:rsidRPr="00A00CAA">
        <w:rPr>
          <w:b/>
          <w:color w:val="182756"/>
          <w:sz w:val="28"/>
          <w:szCs w:val="22"/>
        </w:rPr>
        <w:t xml:space="preserve"> </w:t>
      </w:r>
    </w:p>
    <w:p w14:paraId="75CE7B88" w14:textId="77777777" w:rsidR="00D03602" w:rsidRPr="00A00CAA" w:rsidRDefault="00AA2C76">
      <w:pPr>
        <w:spacing w:after="294" w:line="259" w:lineRule="auto"/>
        <w:ind w:left="0" w:firstLine="0"/>
        <w:rPr>
          <w:sz w:val="8"/>
          <w:szCs w:val="12"/>
        </w:rPr>
      </w:pPr>
      <w:r w:rsidRPr="00A00CAA">
        <w:rPr>
          <w:b/>
          <w:color w:val="181F40"/>
          <w:sz w:val="2"/>
          <w:szCs w:val="12"/>
        </w:rPr>
        <w:t xml:space="preserve"> </w:t>
      </w:r>
    </w:p>
    <w:p w14:paraId="0D65FB1C" w14:textId="77777777" w:rsidR="00D03602" w:rsidRPr="00A00CAA" w:rsidRDefault="00AA2C76">
      <w:pPr>
        <w:pStyle w:val="Heading1"/>
        <w:ind w:left="-5"/>
        <w:rPr>
          <w:sz w:val="20"/>
          <w:szCs w:val="22"/>
        </w:rPr>
      </w:pPr>
      <w:r w:rsidRPr="00A00CAA">
        <w:rPr>
          <w:sz w:val="24"/>
          <w:szCs w:val="22"/>
        </w:rPr>
        <w:t>P</w:t>
      </w:r>
      <w:r w:rsidRPr="00A00CAA">
        <w:rPr>
          <w:sz w:val="20"/>
          <w:szCs w:val="22"/>
        </w:rPr>
        <w:t xml:space="preserve">OLICY </w:t>
      </w:r>
      <w:r w:rsidRPr="00A00CAA">
        <w:rPr>
          <w:sz w:val="24"/>
          <w:szCs w:val="22"/>
        </w:rPr>
        <w:t>S</w:t>
      </w:r>
      <w:r w:rsidRPr="00A00CAA">
        <w:rPr>
          <w:sz w:val="20"/>
          <w:szCs w:val="22"/>
        </w:rPr>
        <w:t>UMMARY</w:t>
      </w:r>
      <w:r w:rsidRPr="00A00CAA">
        <w:rPr>
          <w:sz w:val="24"/>
          <w:szCs w:val="22"/>
        </w:rPr>
        <w:t xml:space="preserve"> </w:t>
      </w:r>
    </w:p>
    <w:p w14:paraId="1C5F0776" w14:textId="77777777" w:rsidR="00D03602" w:rsidRPr="001D0BB3" w:rsidRDefault="00AA2C76">
      <w:pPr>
        <w:spacing w:after="0" w:line="259" w:lineRule="auto"/>
        <w:ind w:left="0" w:firstLine="0"/>
        <w:rPr>
          <w:sz w:val="16"/>
          <w:szCs w:val="20"/>
        </w:rPr>
      </w:pPr>
      <w:r w:rsidRPr="001D0BB3">
        <w:rPr>
          <w:sz w:val="16"/>
          <w:szCs w:val="20"/>
        </w:rPr>
        <w:t xml:space="preserve"> </w:t>
      </w:r>
    </w:p>
    <w:p w14:paraId="04AE0CBE" w14:textId="77777777" w:rsidR="00D03602" w:rsidRDefault="00AA2C76">
      <w:pPr>
        <w:ind w:left="-5"/>
      </w:pPr>
      <w:r>
        <w:t xml:space="preserve">This policy establishes standard class meeting times for all courses, including laboratory and recitation courses, which take place on Northern Arizona University’s Flagstaff mountain campus. See the Standard Class Meeting Times Table to view the fifteen, seven, and five-week standard class meeting times. </w:t>
      </w:r>
    </w:p>
    <w:p w14:paraId="242B8474" w14:textId="77777777" w:rsidR="00D03602" w:rsidRDefault="00AA2C76">
      <w:pPr>
        <w:spacing w:after="130" w:line="259" w:lineRule="auto"/>
        <w:ind w:left="0" w:firstLine="0"/>
      </w:pPr>
      <w:r>
        <w:t xml:space="preserve"> </w:t>
      </w:r>
    </w:p>
    <w:p w14:paraId="34852F28" w14:textId="77777777" w:rsidR="00D03602" w:rsidRPr="00A00CAA" w:rsidRDefault="00AA2C76">
      <w:pPr>
        <w:pStyle w:val="Heading1"/>
        <w:ind w:left="-5"/>
        <w:rPr>
          <w:sz w:val="20"/>
          <w:szCs w:val="22"/>
        </w:rPr>
      </w:pPr>
      <w:r w:rsidRPr="00A00CAA">
        <w:rPr>
          <w:sz w:val="24"/>
          <w:szCs w:val="22"/>
        </w:rPr>
        <w:t>R</w:t>
      </w:r>
      <w:r w:rsidRPr="00A00CAA">
        <w:rPr>
          <w:sz w:val="20"/>
          <w:szCs w:val="22"/>
        </w:rPr>
        <w:t xml:space="preserve">EASON </w:t>
      </w:r>
      <w:r w:rsidRPr="00A00CAA">
        <w:rPr>
          <w:sz w:val="24"/>
          <w:szCs w:val="22"/>
        </w:rPr>
        <w:t>F</w:t>
      </w:r>
      <w:r w:rsidRPr="00A00CAA">
        <w:rPr>
          <w:sz w:val="20"/>
          <w:szCs w:val="22"/>
        </w:rPr>
        <w:t xml:space="preserve">OR </w:t>
      </w:r>
      <w:r w:rsidRPr="00A00CAA">
        <w:rPr>
          <w:sz w:val="24"/>
          <w:szCs w:val="22"/>
        </w:rPr>
        <w:t>T</w:t>
      </w:r>
      <w:r w:rsidRPr="00A00CAA">
        <w:rPr>
          <w:sz w:val="20"/>
          <w:szCs w:val="22"/>
        </w:rPr>
        <w:t xml:space="preserve">HIS </w:t>
      </w:r>
      <w:r w:rsidRPr="00A00CAA">
        <w:rPr>
          <w:sz w:val="24"/>
          <w:szCs w:val="22"/>
        </w:rPr>
        <w:t>P</w:t>
      </w:r>
      <w:r w:rsidRPr="00A00CAA">
        <w:rPr>
          <w:sz w:val="20"/>
          <w:szCs w:val="22"/>
        </w:rPr>
        <w:t>OLICY</w:t>
      </w:r>
      <w:r w:rsidRPr="00A00CAA">
        <w:rPr>
          <w:sz w:val="24"/>
          <w:szCs w:val="22"/>
        </w:rPr>
        <w:t xml:space="preserve"> </w:t>
      </w:r>
    </w:p>
    <w:p w14:paraId="746EE346" w14:textId="77777777" w:rsidR="00D03602" w:rsidRPr="001D0BB3" w:rsidRDefault="00AA2C76">
      <w:pPr>
        <w:spacing w:after="0" w:line="259" w:lineRule="auto"/>
        <w:ind w:left="0" w:firstLine="0"/>
        <w:rPr>
          <w:sz w:val="16"/>
          <w:szCs w:val="20"/>
        </w:rPr>
      </w:pPr>
      <w:r w:rsidRPr="001D0BB3">
        <w:rPr>
          <w:sz w:val="16"/>
          <w:szCs w:val="20"/>
        </w:rPr>
        <w:t xml:space="preserve"> </w:t>
      </w:r>
    </w:p>
    <w:p w14:paraId="5D11FB26" w14:textId="77777777" w:rsidR="00D03602" w:rsidRDefault="00AA2C76">
      <w:pPr>
        <w:ind w:left="-5"/>
      </w:pPr>
      <w:r>
        <w:t xml:space="preserve">Standardizing class meeting times on the Flagstaff mountain campus helps to ensure that students have the opportunity to enroll in required or desired courses and that optimal utilization of University facilities is achieved. </w:t>
      </w:r>
    </w:p>
    <w:p w14:paraId="15DCD16D" w14:textId="77777777" w:rsidR="00D03602" w:rsidRPr="00A00CAA" w:rsidRDefault="00AA2C76">
      <w:pPr>
        <w:spacing w:after="131" w:line="259" w:lineRule="auto"/>
        <w:ind w:left="0" w:firstLine="0"/>
        <w:rPr>
          <w:sz w:val="18"/>
          <w:szCs w:val="22"/>
        </w:rPr>
      </w:pPr>
      <w:r w:rsidRPr="00A00CAA">
        <w:rPr>
          <w:sz w:val="18"/>
          <w:szCs w:val="22"/>
        </w:rPr>
        <w:t xml:space="preserve"> </w:t>
      </w:r>
    </w:p>
    <w:p w14:paraId="535AF64C" w14:textId="77777777" w:rsidR="00D03602" w:rsidRPr="00A00CAA" w:rsidRDefault="00AA2C76">
      <w:pPr>
        <w:pStyle w:val="Heading1"/>
        <w:ind w:left="-5"/>
        <w:rPr>
          <w:sz w:val="20"/>
          <w:szCs w:val="22"/>
        </w:rPr>
      </w:pPr>
      <w:r w:rsidRPr="00A00CAA">
        <w:rPr>
          <w:sz w:val="24"/>
          <w:szCs w:val="22"/>
        </w:rPr>
        <w:t>E</w:t>
      </w:r>
      <w:r w:rsidRPr="00A00CAA">
        <w:rPr>
          <w:sz w:val="20"/>
          <w:szCs w:val="22"/>
        </w:rPr>
        <w:t xml:space="preserve">NTITIES </w:t>
      </w:r>
      <w:proofErr w:type="gramStart"/>
      <w:r w:rsidRPr="00A00CAA">
        <w:rPr>
          <w:sz w:val="24"/>
          <w:szCs w:val="22"/>
        </w:rPr>
        <w:t>A</w:t>
      </w:r>
      <w:r w:rsidRPr="00A00CAA">
        <w:rPr>
          <w:sz w:val="20"/>
          <w:szCs w:val="22"/>
        </w:rPr>
        <w:t xml:space="preserve">FFECTED </w:t>
      </w:r>
      <w:r w:rsidRPr="00A00CAA">
        <w:rPr>
          <w:sz w:val="24"/>
          <w:szCs w:val="22"/>
        </w:rPr>
        <w:t>B</w:t>
      </w:r>
      <w:r w:rsidRPr="00A00CAA">
        <w:rPr>
          <w:sz w:val="20"/>
          <w:szCs w:val="22"/>
        </w:rPr>
        <w:t>Y</w:t>
      </w:r>
      <w:proofErr w:type="gramEnd"/>
      <w:r w:rsidRPr="00A00CAA">
        <w:rPr>
          <w:sz w:val="20"/>
          <w:szCs w:val="22"/>
        </w:rPr>
        <w:t xml:space="preserve"> </w:t>
      </w:r>
      <w:r w:rsidRPr="00A00CAA">
        <w:rPr>
          <w:sz w:val="24"/>
          <w:szCs w:val="22"/>
        </w:rPr>
        <w:t>T</w:t>
      </w:r>
      <w:r w:rsidRPr="00A00CAA">
        <w:rPr>
          <w:sz w:val="20"/>
          <w:szCs w:val="22"/>
        </w:rPr>
        <w:t xml:space="preserve">HIS </w:t>
      </w:r>
      <w:r w:rsidRPr="00A00CAA">
        <w:rPr>
          <w:sz w:val="24"/>
          <w:szCs w:val="22"/>
        </w:rPr>
        <w:t>P</w:t>
      </w:r>
      <w:r w:rsidRPr="00A00CAA">
        <w:rPr>
          <w:sz w:val="20"/>
          <w:szCs w:val="22"/>
        </w:rPr>
        <w:t>OLICY</w:t>
      </w:r>
      <w:r w:rsidRPr="00A00CAA">
        <w:rPr>
          <w:sz w:val="24"/>
          <w:szCs w:val="22"/>
        </w:rPr>
        <w:t xml:space="preserve"> </w:t>
      </w:r>
    </w:p>
    <w:p w14:paraId="63A7A82F" w14:textId="77777777" w:rsidR="00D03602" w:rsidRPr="001D0BB3" w:rsidRDefault="00AA2C76">
      <w:pPr>
        <w:spacing w:after="0" w:line="259" w:lineRule="auto"/>
        <w:ind w:left="0" w:firstLine="0"/>
        <w:rPr>
          <w:sz w:val="16"/>
          <w:szCs w:val="20"/>
        </w:rPr>
      </w:pPr>
      <w:r w:rsidRPr="001D0BB3">
        <w:rPr>
          <w:sz w:val="16"/>
          <w:szCs w:val="20"/>
        </w:rPr>
        <w:t xml:space="preserve"> </w:t>
      </w:r>
    </w:p>
    <w:p w14:paraId="31EC0677" w14:textId="77777777" w:rsidR="00D03602" w:rsidRDefault="00AA2C76">
      <w:pPr>
        <w:numPr>
          <w:ilvl w:val="0"/>
          <w:numId w:val="1"/>
        </w:numPr>
        <w:ind w:hanging="360"/>
      </w:pPr>
      <w:r>
        <w:t xml:space="preserve">All Flagstaff mountain campus academic units </w:t>
      </w:r>
    </w:p>
    <w:p w14:paraId="46C0D294" w14:textId="77777777" w:rsidR="00D03602" w:rsidRDefault="00AA2C76">
      <w:pPr>
        <w:numPr>
          <w:ilvl w:val="0"/>
          <w:numId w:val="1"/>
        </w:numPr>
        <w:ind w:hanging="360"/>
      </w:pPr>
      <w:r>
        <w:t xml:space="preserve">Office of the Registrar </w:t>
      </w:r>
    </w:p>
    <w:p w14:paraId="1C1F5D35" w14:textId="77777777" w:rsidR="00A00CAA" w:rsidRPr="00A00CAA" w:rsidRDefault="00A00CAA" w:rsidP="00A00CAA">
      <w:pPr>
        <w:pStyle w:val="ListParagraph"/>
        <w:numPr>
          <w:ilvl w:val="0"/>
          <w:numId w:val="1"/>
        </w:numPr>
        <w:spacing w:after="131" w:line="259" w:lineRule="auto"/>
        <w:rPr>
          <w:sz w:val="18"/>
          <w:szCs w:val="22"/>
        </w:rPr>
      </w:pPr>
    </w:p>
    <w:p w14:paraId="42648150" w14:textId="77777777" w:rsidR="00D03602" w:rsidRPr="00A00CAA" w:rsidRDefault="00AA2C76">
      <w:pPr>
        <w:pStyle w:val="Heading1"/>
        <w:ind w:left="-5"/>
        <w:rPr>
          <w:sz w:val="20"/>
          <w:szCs w:val="22"/>
        </w:rPr>
      </w:pPr>
      <w:r w:rsidRPr="00A00CAA">
        <w:rPr>
          <w:sz w:val="24"/>
          <w:szCs w:val="22"/>
        </w:rPr>
        <w:t>W</w:t>
      </w:r>
      <w:r w:rsidRPr="00A00CAA">
        <w:rPr>
          <w:sz w:val="20"/>
          <w:szCs w:val="22"/>
        </w:rPr>
        <w:t xml:space="preserve">HO </w:t>
      </w:r>
      <w:r w:rsidRPr="00A00CAA">
        <w:rPr>
          <w:sz w:val="24"/>
          <w:szCs w:val="22"/>
        </w:rPr>
        <w:t>S</w:t>
      </w:r>
      <w:r w:rsidRPr="00A00CAA">
        <w:rPr>
          <w:sz w:val="20"/>
          <w:szCs w:val="22"/>
        </w:rPr>
        <w:t xml:space="preserve">HOULD </w:t>
      </w:r>
      <w:r w:rsidRPr="00A00CAA">
        <w:rPr>
          <w:sz w:val="24"/>
          <w:szCs w:val="22"/>
        </w:rPr>
        <w:t>K</w:t>
      </w:r>
      <w:r w:rsidRPr="00A00CAA">
        <w:rPr>
          <w:sz w:val="20"/>
          <w:szCs w:val="22"/>
        </w:rPr>
        <w:t xml:space="preserve">NOW </w:t>
      </w:r>
      <w:r w:rsidRPr="00A00CAA">
        <w:rPr>
          <w:sz w:val="24"/>
          <w:szCs w:val="22"/>
        </w:rPr>
        <w:t>T</w:t>
      </w:r>
      <w:r w:rsidRPr="00A00CAA">
        <w:rPr>
          <w:sz w:val="20"/>
          <w:szCs w:val="22"/>
        </w:rPr>
        <w:t xml:space="preserve">HIS </w:t>
      </w:r>
      <w:r w:rsidRPr="00A00CAA">
        <w:rPr>
          <w:sz w:val="24"/>
          <w:szCs w:val="22"/>
        </w:rPr>
        <w:t>P</w:t>
      </w:r>
      <w:r w:rsidRPr="00A00CAA">
        <w:rPr>
          <w:sz w:val="20"/>
          <w:szCs w:val="22"/>
        </w:rPr>
        <w:t>OLICY</w:t>
      </w:r>
      <w:r w:rsidRPr="00A00CAA">
        <w:rPr>
          <w:sz w:val="24"/>
          <w:szCs w:val="22"/>
        </w:rPr>
        <w:t xml:space="preserve"> </w:t>
      </w:r>
    </w:p>
    <w:p w14:paraId="24C1C0A4" w14:textId="77777777" w:rsidR="00D03602" w:rsidRPr="001D0BB3" w:rsidRDefault="00AA2C76">
      <w:pPr>
        <w:spacing w:after="0" w:line="259" w:lineRule="auto"/>
        <w:ind w:left="0" w:firstLine="0"/>
        <w:rPr>
          <w:sz w:val="16"/>
          <w:szCs w:val="20"/>
        </w:rPr>
      </w:pPr>
      <w:r w:rsidRPr="001D0BB3">
        <w:rPr>
          <w:sz w:val="16"/>
          <w:szCs w:val="20"/>
        </w:rPr>
        <w:t xml:space="preserve"> </w:t>
      </w:r>
    </w:p>
    <w:p w14:paraId="3808209B" w14:textId="77777777" w:rsidR="00D03602" w:rsidRDefault="00AA2C76">
      <w:pPr>
        <w:ind w:left="370" w:right="2849"/>
      </w:pPr>
      <w:r>
        <w:rPr>
          <w:rFonts w:ascii="Wingdings" w:eastAsia="Wingdings" w:hAnsi="Wingdings" w:cs="Wingdings"/>
        </w:rPr>
        <w:t></w:t>
      </w:r>
      <w:r>
        <w:t xml:space="preserve"> </w:t>
      </w:r>
      <w:r>
        <w:tab/>
      </w:r>
      <w:r>
        <w:t xml:space="preserve">All Flagstaff mountain campus students, faculty, and academic officials </w:t>
      </w:r>
      <w:r>
        <w:rPr>
          <w:rFonts w:ascii="Wingdings" w:eastAsia="Wingdings" w:hAnsi="Wingdings" w:cs="Wingdings"/>
        </w:rPr>
        <w:t></w:t>
      </w:r>
      <w:r>
        <w:t xml:space="preserve"> </w:t>
      </w:r>
      <w:r>
        <w:tab/>
        <w:t xml:space="preserve">Office of the Registrar staff  </w:t>
      </w:r>
    </w:p>
    <w:p w14:paraId="7847BCDF" w14:textId="77777777" w:rsidR="00A00CAA" w:rsidRPr="00A00CAA" w:rsidRDefault="00A00CAA" w:rsidP="00A00CAA">
      <w:pPr>
        <w:spacing w:after="131" w:line="259" w:lineRule="auto"/>
        <w:ind w:left="0" w:firstLine="0"/>
        <w:rPr>
          <w:sz w:val="18"/>
          <w:szCs w:val="22"/>
        </w:rPr>
      </w:pPr>
    </w:p>
    <w:p w14:paraId="2E947995" w14:textId="77777777" w:rsidR="00D03602" w:rsidRPr="00A00CAA" w:rsidRDefault="00AA2C76">
      <w:pPr>
        <w:spacing w:after="0" w:line="259" w:lineRule="auto"/>
        <w:ind w:left="-5"/>
        <w:rPr>
          <w:sz w:val="18"/>
          <w:szCs w:val="22"/>
        </w:rPr>
      </w:pPr>
      <w:r w:rsidRPr="00A00CAA">
        <w:rPr>
          <w:b/>
          <w:color w:val="182756"/>
          <w:sz w:val="24"/>
          <w:szCs w:val="22"/>
        </w:rPr>
        <w:t>D</w:t>
      </w:r>
      <w:r w:rsidRPr="00A00CAA">
        <w:rPr>
          <w:b/>
          <w:color w:val="182756"/>
          <w:szCs w:val="22"/>
        </w:rPr>
        <w:t>EFINITIONS</w:t>
      </w:r>
      <w:r w:rsidRPr="00A00CAA">
        <w:rPr>
          <w:b/>
          <w:color w:val="182756"/>
          <w:sz w:val="24"/>
          <w:szCs w:val="22"/>
        </w:rPr>
        <w:t xml:space="preserve"> </w:t>
      </w:r>
    </w:p>
    <w:p w14:paraId="11092405" w14:textId="77777777" w:rsidR="00D03602" w:rsidRPr="001D0BB3" w:rsidRDefault="00AA2C76">
      <w:pPr>
        <w:spacing w:after="0" w:line="259" w:lineRule="auto"/>
        <w:ind w:left="0" w:firstLine="0"/>
        <w:rPr>
          <w:sz w:val="16"/>
          <w:szCs w:val="20"/>
        </w:rPr>
      </w:pPr>
      <w:r w:rsidRPr="001D0BB3">
        <w:rPr>
          <w:sz w:val="16"/>
          <w:szCs w:val="20"/>
        </w:rPr>
        <w:t xml:space="preserve"> </w:t>
      </w:r>
    </w:p>
    <w:p w14:paraId="26B793F5" w14:textId="77777777" w:rsidR="00D03602" w:rsidRDefault="00AA2C76">
      <w:pPr>
        <w:ind w:left="370"/>
      </w:pPr>
      <w:r>
        <w:t xml:space="preserve">None. </w:t>
      </w:r>
    </w:p>
    <w:p w14:paraId="26223A53" w14:textId="77777777" w:rsidR="00A00CAA" w:rsidRPr="00A00CAA" w:rsidRDefault="00A00CAA" w:rsidP="00A00CAA">
      <w:pPr>
        <w:spacing w:after="131" w:line="259" w:lineRule="auto"/>
        <w:ind w:left="0" w:firstLine="0"/>
        <w:rPr>
          <w:sz w:val="18"/>
          <w:szCs w:val="22"/>
        </w:rPr>
      </w:pPr>
    </w:p>
    <w:p w14:paraId="6F410D48" w14:textId="770A32A0" w:rsidR="00D03602" w:rsidRDefault="00AA2C76">
      <w:pPr>
        <w:pStyle w:val="Heading1"/>
        <w:ind w:left="-5"/>
      </w:pPr>
      <w:r>
        <w:rPr>
          <w:sz w:val="28"/>
        </w:rPr>
        <w:t xml:space="preserve"> </w:t>
      </w:r>
      <w:r w:rsidR="00A00CAA" w:rsidRPr="00A00CAA">
        <w:rPr>
          <w:sz w:val="24"/>
          <w:szCs w:val="22"/>
        </w:rPr>
        <w:t>P</w:t>
      </w:r>
      <w:r w:rsidR="00A00CAA" w:rsidRPr="00A00CAA">
        <w:rPr>
          <w:sz w:val="20"/>
          <w:szCs w:val="22"/>
        </w:rPr>
        <w:t>OLICY</w:t>
      </w:r>
    </w:p>
    <w:p w14:paraId="2DA76A7C" w14:textId="77777777" w:rsidR="00D03602" w:rsidRDefault="00AA2C76">
      <w:pPr>
        <w:spacing w:after="0" w:line="259" w:lineRule="auto"/>
        <w:ind w:left="0" w:firstLine="0"/>
      </w:pPr>
      <w:r>
        <w:t xml:space="preserve"> </w:t>
      </w:r>
    </w:p>
    <w:p w14:paraId="0AACDD1C" w14:textId="77777777" w:rsidR="00D03602" w:rsidRDefault="00AA2C76">
      <w:pPr>
        <w:numPr>
          <w:ilvl w:val="0"/>
          <w:numId w:val="2"/>
        </w:numPr>
        <w:ind w:hanging="360"/>
      </w:pPr>
      <w:r>
        <w:t xml:space="preserve">Applicability </w:t>
      </w:r>
    </w:p>
    <w:p w14:paraId="24AB2848" w14:textId="77777777" w:rsidR="00D03602" w:rsidRDefault="00AA2C76">
      <w:pPr>
        <w:spacing w:after="0" w:line="259" w:lineRule="auto"/>
        <w:ind w:left="0" w:firstLine="0"/>
      </w:pPr>
      <w:r>
        <w:t xml:space="preserve"> </w:t>
      </w:r>
    </w:p>
    <w:p w14:paraId="553512F8" w14:textId="77777777" w:rsidR="00D03602" w:rsidRDefault="00AA2C76">
      <w:pPr>
        <w:ind w:left="-5"/>
      </w:pPr>
      <w:r>
        <w:t xml:space="preserve">This policy applies to all credit-bearing courses offered on the Flagstaff mountain campus with the exceptions of courses that do not have set meeting times, such as independent study, and captive cohort programs for which all students are taking a prescribed, integrated block of common courses that constitute their full semester load. </w:t>
      </w:r>
    </w:p>
    <w:p w14:paraId="70259280" w14:textId="77777777" w:rsidR="00D03602" w:rsidRDefault="00AA2C76">
      <w:pPr>
        <w:spacing w:after="0" w:line="259" w:lineRule="auto"/>
        <w:ind w:left="0" w:firstLine="0"/>
      </w:pPr>
      <w:r>
        <w:t xml:space="preserve"> </w:t>
      </w:r>
    </w:p>
    <w:p w14:paraId="6C72339B" w14:textId="77777777" w:rsidR="00D03602" w:rsidRDefault="00AA2C76">
      <w:pPr>
        <w:numPr>
          <w:ilvl w:val="0"/>
          <w:numId w:val="2"/>
        </w:numPr>
        <w:ind w:hanging="360"/>
      </w:pPr>
      <w:r>
        <w:t xml:space="preserve">Standard Class Meeting Times </w:t>
      </w:r>
    </w:p>
    <w:p w14:paraId="7432ABEE" w14:textId="77777777" w:rsidR="00D03602" w:rsidRDefault="00AA2C76">
      <w:pPr>
        <w:spacing w:after="0" w:line="259" w:lineRule="auto"/>
        <w:ind w:left="0" w:firstLine="0"/>
      </w:pPr>
      <w:r>
        <w:t xml:space="preserve"> </w:t>
      </w:r>
    </w:p>
    <w:p w14:paraId="56FAB595" w14:textId="77777777" w:rsidR="00D03602" w:rsidRDefault="00AA2C76">
      <w:pPr>
        <w:ind w:left="-5"/>
      </w:pPr>
      <w:r>
        <w:t xml:space="preserve">The University’s standard </w:t>
      </w:r>
      <w:proofErr w:type="gramStart"/>
      <w:r>
        <w:t>are</w:t>
      </w:r>
      <w:proofErr w:type="gramEnd"/>
      <w:r>
        <w:t xml:space="preserve"> listed in the </w:t>
      </w:r>
      <w:hyperlink r:id="rId8">
        <w:r>
          <w:rPr>
            <w:color w:val="0563C1"/>
            <w:u w:val="single" w:color="0563C1"/>
          </w:rPr>
          <w:t>Standard Class Meeting Times Table</w:t>
        </w:r>
      </w:hyperlink>
      <w:hyperlink r:id="rId9">
        <w:r>
          <w:t>.</w:t>
        </w:r>
      </w:hyperlink>
      <w:r>
        <w:t xml:space="preserve"> </w:t>
      </w:r>
    </w:p>
    <w:p w14:paraId="6B14F329" w14:textId="77777777" w:rsidR="00D03602" w:rsidRDefault="00AA2C76">
      <w:pPr>
        <w:spacing w:after="0" w:line="259" w:lineRule="auto"/>
        <w:ind w:left="0" w:firstLine="0"/>
      </w:pPr>
      <w:r>
        <w:t xml:space="preserve"> </w:t>
      </w:r>
    </w:p>
    <w:p w14:paraId="1DC16A87" w14:textId="77777777" w:rsidR="00D03602" w:rsidRDefault="00AA2C76">
      <w:pPr>
        <w:numPr>
          <w:ilvl w:val="0"/>
          <w:numId w:val="2"/>
        </w:numPr>
        <w:ind w:hanging="360"/>
      </w:pPr>
      <w:r>
        <w:t xml:space="preserve">Laboratory and Recitation Course Scheduling </w:t>
      </w:r>
    </w:p>
    <w:p w14:paraId="1C22373D" w14:textId="77777777" w:rsidR="001D0BB3" w:rsidRDefault="001D0BB3" w:rsidP="001D0BB3">
      <w:pPr>
        <w:spacing w:after="0" w:line="259" w:lineRule="auto"/>
        <w:ind w:left="0" w:firstLine="0"/>
      </w:pPr>
    </w:p>
    <w:p w14:paraId="1766F18B" w14:textId="45B7180B" w:rsidR="00D03602" w:rsidRDefault="00AA2C76" w:rsidP="001D0BB3">
      <w:pPr>
        <w:spacing w:after="0" w:line="259" w:lineRule="auto"/>
        <w:ind w:left="0" w:firstLine="0"/>
      </w:pPr>
      <w:r>
        <w:t xml:space="preserve">Laboratory and recitation sections typically are formally aligned with another course, can be credit or non-credit bearing, and must either start or end at the standard class meeting times. </w:t>
      </w:r>
    </w:p>
    <w:p w14:paraId="5D9FABE6" w14:textId="3EE99778" w:rsidR="00D54CD7" w:rsidRDefault="00AA2C76">
      <w:pPr>
        <w:spacing w:after="0" w:line="259" w:lineRule="auto"/>
        <w:ind w:left="0" w:firstLine="0"/>
      </w:pPr>
      <w:r>
        <w:t xml:space="preserve"> </w:t>
      </w:r>
    </w:p>
    <w:p w14:paraId="20C293C4" w14:textId="77777777" w:rsidR="00D03602" w:rsidRDefault="00AA2C76">
      <w:pPr>
        <w:numPr>
          <w:ilvl w:val="0"/>
          <w:numId w:val="2"/>
        </w:numPr>
        <w:ind w:hanging="360"/>
      </w:pPr>
      <w:r>
        <w:t xml:space="preserve">Synchronous Technology-Mediated Classes </w:t>
      </w:r>
    </w:p>
    <w:p w14:paraId="63AB95DA" w14:textId="77777777" w:rsidR="00D03602" w:rsidRDefault="00AA2C76">
      <w:pPr>
        <w:spacing w:after="0" w:line="259" w:lineRule="auto"/>
        <w:ind w:left="0" w:firstLine="0"/>
      </w:pPr>
      <w:r>
        <w:t xml:space="preserve"> </w:t>
      </w:r>
    </w:p>
    <w:p w14:paraId="48A0A942" w14:textId="77777777" w:rsidR="00D03602" w:rsidRDefault="00AA2C76">
      <w:pPr>
        <w:ind w:left="-5"/>
      </w:pPr>
      <w:r>
        <w:t xml:space="preserve">To the maximum extent practicable, synchronous technology-mediated classes enrolling Flagstaff mountain campus students should schedule their courses in conformance with the standard class meeting times. </w:t>
      </w:r>
    </w:p>
    <w:p w14:paraId="568A1361" w14:textId="67ADDF72" w:rsidR="00D03602" w:rsidRDefault="00D03602">
      <w:pPr>
        <w:spacing w:after="33" w:line="259" w:lineRule="auto"/>
        <w:ind w:left="-12" w:firstLine="0"/>
      </w:pPr>
    </w:p>
    <w:p w14:paraId="0A16583E" w14:textId="77777777" w:rsidR="00D03602" w:rsidRPr="001D0BB3" w:rsidRDefault="00AA2C76">
      <w:pPr>
        <w:spacing w:after="0" w:line="259" w:lineRule="auto"/>
        <w:ind w:left="6" w:firstLine="0"/>
        <w:jc w:val="center"/>
        <w:rPr>
          <w:sz w:val="14"/>
          <w:szCs w:val="18"/>
        </w:rPr>
      </w:pPr>
      <w:r w:rsidRPr="001D0BB3">
        <w:rPr>
          <w:sz w:val="10"/>
          <w:szCs w:val="18"/>
        </w:rPr>
        <w:lastRenderedPageBreak/>
        <w:t xml:space="preserve"> </w:t>
      </w:r>
    </w:p>
    <w:p w14:paraId="48EDA7E9" w14:textId="77777777" w:rsidR="00D03602" w:rsidRDefault="00AA2C76">
      <w:pPr>
        <w:numPr>
          <w:ilvl w:val="0"/>
          <w:numId w:val="2"/>
        </w:numPr>
        <w:ind w:hanging="360"/>
      </w:pPr>
      <w:r>
        <w:t xml:space="preserve">Unit of Credit as Determined by the Arizona Board of Regents </w:t>
      </w:r>
    </w:p>
    <w:p w14:paraId="604F8450" w14:textId="77777777" w:rsidR="00D03602" w:rsidRDefault="00AA2C76">
      <w:pPr>
        <w:spacing w:after="0" w:line="259" w:lineRule="auto"/>
        <w:ind w:left="0" w:firstLine="0"/>
      </w:pPr>
      <w:r>
        <w:t xml:space="preserve"> </w:t>
      </w:r>
    </w:p>
    <w:p w14:paraId="6593D5C4" w14:textId="06053589" w:rsidR="00D03602" w:rsidRDefault="00AA2C76">
      <w:pPr>
        <w:ind w:left="-5"/>
      </w:pPr>
      <w:r>
        <w:t xml:space="preserve">As set </w:t>
      </w:r>
      <w:r w:rsidR="00A00CAA">
        <w:t>forth</w:t>
      </w:r>
      <w:r>
        <w:t xml:space="preserve"> in Arizona Board of Regents Policy 2-224, Academic Credit, a unit of credit is an hour of work is the equivalent of 50 minutes of class time (often called a "contact hour") or 60 minutes of independent study work. A minimum of 45 hours of work by each student is required for each unit of credit. Ordinarily, a course must cover a one-week period for every unit of credit given. During summer sessions, however, six units of credit may be given over a five-week period. Additionally:  </w:t>
      </w:r>
    </w:p>
    <w:p w14:paraId="737C9ED6" w14:textId="77777777" w:rsidR="00D03602" w:rsidRDefault="00AA2C76">
      <w:pPr>
        <w:spacing w:after="0" w:line="259" w:lineRule="auto"/>
        <w:ind w:left="1" w:firstLine="0"/>
      </w:pPr>
      <w:r>
        <w:t xml:space="preserve"> </w:t>
      </w:r>
    </w:p>
    <w:p w14:paraId="0EE66165" w14:textId="77777777" w:rsidR="00D03602" w:rsidRDefault="00AA2C76">
      <w:pPr>
        <w:numPr>
          <w:ilvl w:val="1"/>
          <w:numId w:val="2"/>
        </w:numPr>
        <w:ind w:hanging="360"/>
      </w:pPr>
      <w:r>
        <w:t xml:space="preserve">At least 15 contact hours of recitation, lecture, discussion, testing or evaluation, seminar, or colloquium, as well as a minimum of 30 hours of student homework is required for each unit of credit;  </w:t>
      </w:r>
    </w:p>
    <w:p w14:paraId="373317AA" w14:textId="77777777" w:rsidR="00D03602" w:rsidRDefault="00AA2C76">
      <w:pPr>
        <w:spacing w:after="0" w:line="259" w:lineRule="auto"/>
        <w:ind w:left="1" w:firstLine="0"/>
      </w:pPr>
      <w:r>
        <w:t xml:space="preserve"> </w:t>
      </w:r>
    </w:p>
    <w:p w14:paraId="3E1FA289" w14:textId="77777777" w:rsidR="00D03602" w:rsidRDefault="00AA2C76">
      <w:pPr>
        <w:numPr>
          <w:ilvl w:val="1"/>
          <w:numId w:val="2"/>
        </w:numPr>
        <w:ind w:hanging="360"/>
      </w:pPr>
      <w:r>
        <w:t xml:space="preserve">Workshops must involve a minimum of 45 hours for each unit of credit, including a minimum of 15 contact hours with the balance of the requirement in homework;  </w:t>
      </w:r>
    </w:p>
    <w:p w14:paraId="5EAB2A13" w14:textId="77777777" w:rsidR="00D03602" w:rsidRDefault="00AA2C76">
      <w:pPr>
        <w:spacing w:after="0" w:line="259" w:lineRule="auto"/>
        <w:ind w:left="1" w:firstLine="0"/>
      </w:pPr>
      <w:r>
        <w:t xml:space="preserve"> </w:t>
      </w:r>
    </w:p>
    <w:p w14:paraId="6779FF9B" w14:textId="77777777" w:rsidR="00D03602" w:rsidRDefault="00AA2C76">
      <w:pPr>
        <w:numPr>
          <w:ilvl w:val="1"/>
          <w:numId w:val="2"/>
        </w:numPr>
        <w:ind w:hanging="360"/>
      </w:pPr>
      <w:r>
        <w:t xml:space="preserve">Studios must involve at least 30 contact hours and at least 15 hours of homework for each unit of credit;  </w:t>
      </w:r>
    </w:p>
    <w:p w14:paraId="4E4FBBF1" w14:textId="77777777" w:rsidR="00D03602" w:rsidRDefault="00AA2C76">
      <w:pPr>
        <w:spacing w:after="0" w:line="259" w:lineRule="auto"/>
        <w:ind w:left="0" w:firstLine="0"/>
      </w:pPr>
      <w:r>
        <w:t xml:space="preserve"> </w:t>
      </w:r>
    </w:p>
    <w:p w14:paraId="63E9F633" w14:textId="77777777" w:rsidR="00D03602" w:rsidRDefault="00AA2C76">
      <w:pPr>
        <w:numPr>
          <w:ilvl w:val="1"/>
          <w:numId w:val="2"/>
        </w:numPr>
        <w:ind w:hanging="360"/>
      </w:pPr>
      <w:r>
        <w:t xml:space="preserve">Laboratory courses require a minimum of 45 contact hours per unit of credit;  </w:t>
      </w:r>
    </w:p>
    <w:p w14:paraId="2196E0B7" w14:textId="77777777" w:rsidR="00D03602" w:rsidRDefault="00AA2C76">
      <w:pPr>
        <w:spacing w:after="0" w:line="259" w:lineRule="auto"/>
        <w:ind w:left="0" w:firstLine="0"/>
      </w:pPr>
      <w:r>
        <w:t xml:space="preserve"> </w:t>
      </w:r>
    </w:p>
    <w:p w14:paraId="34378C52" w14:textId="77777777" w:rsidR="00D03602" w:rsidRDefault="00AA2C76">
      <w:pPr>
        <w:numPr>
          <w:ilvl w:val="1"/>
          <w:numId w:val="2"/>
        </w:numPr>
        <w:ind w:hanging="360"/>
      </w:pPr>
      <w:r>
        <w:t xml:space="preserve">Field trips will be counted hour-for-hour as laboratory meetings;  </w:t>
      </w:r>
    </w:p>
    <w:p w14:paraId="520EF656" w14:textId="77777777" w:rsidR="00D03602" w:rsidRDefault="00AA2C76">
      <w:pPr>
        <w:spacing w:after="0" w:line="259" w:lineRule="auto"/>
        <w:ind w:left="0" w:firstLine="0"/>
      </w:pPr>
      <w:r>
        <w:t xml:space="preserve"> </w:t>
      </w:r>
    </w:p>
    <w:p w14:paraId="230D2533" w14:textId="77777777" w:rsidR="00D03602" w:rsidRDefault="00AA2C76">
      <w:pPr>
        <w:numPr>
          <w:ilvl w:val="1"/>
          <w:numId w:val="2"/>
        </w:numPr>
        <w:ind w:hanging="360"/>
      </w:pPr>
      <w:r>
        <w:t xml:space="preserve">Each unit of internship or practicum must require a minimum of 45 clock hours of work; and  </w:t>
      </w:r>
    </w:p>
    <w:p w14:paraId="4A58D4D7" w14:textId="77777777" w:rsidR="00D03602" w:rsidRDefault="00AA2C76">
      <w:pPr>
        <w:spacing w:after="0" w:line="259" w:lineRule="auto"/>
        <w:ind w:left="0" w:firstLine="0"/>
      </w:pPr>
      <w:r>
        <w:t xml:space="preserve"> </w:t>
      </w:r>
    </w:p>
    <w:p w14:paraId="4CEA289A" w14:textId="77777777" w:rsidR="00D03602" w:rsidRDefault="00AA2C76">
      <w:pPr>
        <w:numPr>
          <w:ilvl w:val="1"/>
          <w:numId w:val="2"/>
        </w:numPr>
        <w:spacing w:after="66"/>
        <w:ind w:hanging="360"/>
      </w:pPr>
      <w:r>
        <w:t xml:space="preserve">Music instruction and specialized types of music performance offerings must conform to the requirement for accreditation of the National Association of Schools of Music. </w:t>
      </w:r>
    </w:p>
    <w:p w14:paraId="4E247662" w14:textId="77777777" w:rsidR="00D03602" w:rsidRDefault="00AA2C76">
      <w:pPr>
        <w:spacing w:after="52" w:line="259" w:lineRule="auto"/>
        <w:ind w:left="0" w:firstLine="0"/>
      </w:pPr>
      <w:r>
        <w:rPr>
          <w:sz w:val="28"/>
        </w:rPr>
        <w:t xml:space="preserve"> </w:t>
      </w:r>
    </w:p>
    <w:p w14:paraId="67DE70A8" w14:textId="77777777" w:rsidR="00D03602" w:rsidRPr="00A00CAA" w:rsidRDefault="00AA2C76">
      <w:pPr>
        <w:pStyle w:val="Heading1"/>
        <w:ind w:left="-5"/>
        <w:rPr>
          <w:sz w:val="20"/>
          <w:szCs w:val="22"/>
        </w:rPr>
      </w:pPr>
      <w:r w:rsidRPr="00A00CAA">
        <w:rPr>
          <w:sz w:val="24"/>
          <w:szCs w:val="22"/>
        </w:rPr>
        <w:t>R</w:t>
      </w:r>
      <w:r w:rsidRPr="00A00CAA">
        <w:rPr>
          <w:sz w:val="20"/>
          <w:szCs w:val="22"/>
        </w:rPr>
        <w:t>ESPONSIBILITIES</w:t>
      </w:r>
      <w:r w:rsidRPr="00A00CAA">
        <w:rPr>
          <w:sz w:val="24"/>
          <w:szCs w:val="22"/>
        </w:rPr>
        <w:t xml:space="preserve"> </w:t>
      </w:r>
    </w:p>
    <w:p w14:paraId="5B94BBD0" w14:textId="77777777" w:rsidR="00D03602" w:rsidRDefault="00AA2C76">
      <w:pPr>
        <w:spacing w:after="0" w:line="259" w:lineRule="auto"/>
        <w:ind w:left="0" w:firstLine="0"/>
      </w:pPr>
      <w:r>
        <w:t xml:space="preserve"> </w:t>
      </w:r>
    </w:p>
    <w:p w14:paraId="73F61225" w14:textId="77777777" w:rsidR="00D03602" w:rsidRDefault="00AA2C76">
      <w:pPr>
        <w:ind w:left="-5"/>
      </w:pPr>
      <w:r>
        <w:rPr>
          <w:b/>
          <w:u w:val="single" w:color="000000"/>
        </w:rPr>
        <w:t xml:space="preserve">Office of the </w:t>
      </w:r>
      <w:proofErr w:type="gramStart"/>
      <w:r>
        <w:rPr>
          <w:b/>
          <w:u w:val="single" w:color="000000"/>
        </w:rPr>
        <w:t>Registrar</w:t>
      </w:r>
      <w:r>
        <w:t>:</w:t>
      </w:r>
      <w:proofErr w:type="gramEnd"/>
      <w:r>
        <w:t xml:space="preserve"> ensures academic unit compliance with this policy. </w:t>
      </w:r>
    </w:p>
    <w:p w14:paraId="422311BF" w14:textId="77777777" w:rsidR="00D03602" w:rsidRDefault="00AA2C76">
      <w:pPr>
        <w:spacing w:after="0" w:line="259" w:lineRule="auto"/>
        <w:ind w:left="0" w:firstLine="0"/>
      </w:pPr>
      <w:r>
        <w:t xml:space="preserve"> </w:t>
      </w:r>
    </w:p>
    <w:p w14:paraId="566CB369" w14:textId="77777777" w:rsidR="00D03602" w:rsidRDefault="00AA2C76">
      <w:pPr>
        <w:spacing w:after="0" w:line="259" w:lineRule="auto"/>
        <w:ind w:left="0" w:firstLine="0"/>
      </w:pPr>
      <w:r>
        <w:rPr>
          <w:b/>
          <w:u w:val="single" w:color="000000"/>
        </w:rPr>
        <w:t>Vice Provost for Academic Affairs</w:t>
      </w:r>
      <w:r>
        <w:t xml:space="preserve">: administers this policy. </w:t>
      </w:r>
    </w:p>
    <w:p w14:paraId="232BB9FC" w14:textId="77777777" w:rsidR="00D03602" w:rsidRDefault="00AA2C76">
      <w:pPr>
        <w:spacing w:after="135" w:line="259" w:lineRule="auto"/>
        <w:ind w:left="0" w:firstLine="0"/>
      </w:pPr>
      <w:r>
        <w:t xml:space="preserve"> </w:t>
      </w:r>
    </w:p>
    <w:p w14:paraId="5F8AAF2B" w14:textId="77777777" w:rsidR="00D03602" w:rsidRPr="00A00CAA" w:rsidRDefault="00AA2C76">
      <w:pPr>
        <w:spacing w:after="0" w:line="259" w:lineRule="auto"/>
        <w:ind w:left="-5"/>
        <w:rPr>
          <w:sz w:val="18"/>
          <w:szCs w:val="22"/>
        </w:rPr>
      </w:pPr>
      <w:r w:rsidRPr="00A00CAA">
        <w:rPr>
          <w:b/>
          <w:color w:val="182756"/>
          <w:sz w:val="24"/>
          <w:szCs w:val="22"/>
        </w:rPr>
        <w:t>P</w:t>
      </w:r>
      <w:r w:rsidRPr="00A00CAA">
        <w:rPr>
          <w:b/>
          <w:color w:val="182756"/>
          <w:szCs w:val="22"/>
        </w:rPr>
        <w:t>ROCEDURES</w:t>
      </w:r>
      <w:r w:rsidRPr="00A00CAA">
        <w:rPr>
          <w:b/>
          <w:color w:val="182756"/>
          <w:sz w:val="24"/>
          <w:szCs w:val="22"/>
        </w:rPr>
        <w:t xml:space="preserve"> </w:t>
      </w:r>
    </w:p>
    <w:p w14:paraId="666EEE6B" w14:textId="77777777" w:rsidR="00D03602" w:rsidRDefault="00AA2C76">
      <w:pPr>
        <w:spacing w:after="0" w:line="259" w:lineRule="auto"/>
        <w:ind w:left="0" w:firstLine="0"/>
      </w:pPr>
      <w:r>
        <w:t xml:space="preserve"> </w:t>
      </w:r>
    </w:p>
    <w:p w14:paraId="48BD6AFE" w14:textId="77777777" w:rsidR="00D03602" w:rsidRDefault="00AA2C76">
      <w:pPr>
        <w:spacing w:after="29"/>
        <w:ind w:left="370"/>
      </w:pPr>
      <w:r>
        <w:t xml:space="preserve">There are no procedures associated with this policy. </w:t>
      </w:r>
    </w:p>
    <w:p w14:paraId="25BE703C" w14:textId="77777777" w:rsidR="00D03602" w:rsidRDefault="00AA2C76">
      <w:pPr>
        <w:spacing w:after="139" w:line="259" w:lineRule="auto"/>
        <w:ind w:left="0" w:firstLine="0"/>
      </w:pPr>
      <w:r>
        <w:rPr>
          <w:b/>
          <w:color w:val="182040"/>
        </w:rPr>
        <w:t xml:space="preserve"> </w:t>
      </w:r>
    </w:p>
    <w:p w14:paraId="15E47F19" w14:textId="77777777" w:rsidR="00D03602" w:rsidRPr="00A00CAA" w:rsidRDefault="00AA2C76">
      <w:pPr>
        <w:spacing w:after="0" w:line="259" w:lineRule="auto"/>
        <w:ind w:left="-5"/>
        <w:rPr>
          <w:sz w:val="18"/>
          <w:szCs w:val="22"/>
        </w:rPr>
      </w:pPr>
      <w:r w:rsidRPr="00A00CAA">
        <w:rPr>
          <w:b/>
          <w:color w:val="182756"/>
          <w:sz w:val="24"/>
          <w:szCs w:val="22"/>
        </w:rPr>
        <w:t>R</w:t>
      </w:r>
      <w:r w:rsidRPr="00A00CAA">
        <w:rPr>
          <w:b/>
          <w:color w:val="182756"/>
          <w:szCs w:val="22"/>
        </w:rPr>
        <w:t xml:space="preserve">ELATED </w:t>
      </w:r>
      <w:r w:rsidRPr="00A00CAA">
        <w:rPr>
          <w:b/>
          <w:color w:val="182756"/>
          <w:sz w:val="24"/>
          <w:szCs w:val="22"/>
        </w:rPr>
        <w:t>I</w:t>
      </w:r>
      <w:r w:rsidRPr="00A00CAA">
        <w:rPr>
          <w:b/>
          <w:color w:val="182756"/>
          <w:szCs w:val="22"/>
        </w:rPr>
        <w:t>NFORMATION</w:t>
      </w:r>
      <w:r w:rsidRPr="00A00CAA">
        <w:rPr>
          <w:b/>
          <w:color w:val="182756"/>
          <w:sz w:val="24"/>
          <w:szCs w:val="22"/>
        </w:rPr>
        <w:t xml:space="preserve"> </w:t>
      </w:r>
    </w:p>
    <w:p w14:paraId="79EC98A0" w14:textId="77777777" w:rsidR="00D03602" w:rsidRDefault="00AA2C76">
      <w:pPr>
        <w:spacing w:after="43" w:line="259" w:lineRule="auto"/>
        <w:ind w:left="0" w:firstLine="0"/>
      </w:pPr>
      <w:r>
        <w:t xml:space="preserve"> </w:t>
      </w:r>
    </w:p>
    <w:p w14:paraId="04A83B53" w14:textId="77777777" w:rsidR="00D03602" w:rsidRDefault="00AA2C76">
      <w:pPr>
        <w:spacing w:after="0" w:line="259" w:lineRule="auto"/>
        <w:ind w:left="370"/>
      </w:pPr>
      <w:r>
        <w:rPr>
          <w:b/>
          <w:color w:val="182756"/>
          <w:sz w:val="22"/>
        </w:rPr>
        <w:t xml:space="preserve">Forms or Tools </w:t>
      </w:r>
    </w:p>
    <w:p w14:paraId="44F882BE" w14:textId="77777777" w:rsidR="00D03602" w:rsidRDefault="00AA2C76">
      <w:pPr>
        <w:spacing w:after="0" w:line="259" w:lineRule="auto"/>
        <w:ind w:left="0" w:firstLine="0"/>
      </w:pPr>
      <w:r>
        <w:t xml:space="preserve"> </w:t>
      </w:r>
    </w:p>
    <w:p w14:paraId="0CBC9795" w14:textId="77777777" w:rsidR="00D03602" w:rsidRDefault="00AA2C76">
      <w:pPr>
        <w:spacing w:after="0" w:line="259" w:lineRule="auto"/>
        <w:ind w:left="715"/>
      </w:pPr>
      <w:hyperlink r:id="rId10">
        <w:r>
          <w:rPr>
            <w:color w:val="0563C1"/>
            <w:u w:val="single" w:color="0563C1"/>
          </w:rPr>
          <w:t>Standard Class Meeting Times Table</w:t>
        </w:r>
      </w:hyperlink>
      <w:hyperlink r:id="rId11">
        <w:r>
          <w:t xml:space="preserve"> </w:t>
        </w:r>
      </w:hyperlink>
      <w:r>
        <w:t xml:space="preserve"> </w:t>
      </w:r>
    </w:p>
    <w:p w14:paraId="3A0FD977" w14:textId="77777777" w:rsidR="00D03602" w:rsidRDefault="00AA2C76">
      <w:pPr>
        <w:spacing w:after="43" w:line="259" w:lineRule="auto"/>
        <w:ind w:left="360" w:firstLine="0"/>
      </w:pPr>
      <w:r>
        <w:rPr>
          <w:b/>
          <w:color w:val="181E40"/>
        </w:rPr>
        <w:t xml:space="preserve"> </w:t>
      </w:r>
    </w:p>
    <w:p w14:paraId="0D1675C3" w14:textId="77777777" w:rsidR="00D03602" w:rsidRDefault="00AA2C76">
      <w:pPr>
        <w:spacing w:after="0" w:line="259" w:lineRule="auto"/>
        <w:ind w:left="370"/>
      </w:pPr>
      <w:r>
        <w:rPr>
          <w:b/>
          <w:color w:val="182756"/>
          <w:sz w:val="22"/>
        </w:rPr>
        <w:t xml:space="preserve">Cross-References </w:t>
      </w:r>
    </w:p>
    <w:p w14:paraId="31B070EA" w14:textId="77777777" w:rsidR="00D03602" w:rsidRDefault="00AA2C76">
      <w:pPr>
        <w:spacing w:after="0" w:line="259" w:lineRule="auto"/>
        <w:ind w:left="0" w:firstLine="0"/>
      </w:pPr>
      <w:r>
        <w:t xml:space="preserve"> </w:t>
      </w:r>
    </w:p>
    <w:p w14:paraId="58E887E4" w14:textId="77777777" w:rsidR="00D03602" w:rsidRDefault="00AA2C76">
      <w:pPr>
        <w:ind w:left="730"/>
      </w:pPr>
      <w:r>
        <w:t xml:space="preserve">There are no cross-references associated with this policy. </w:t>
      </w:r>
    </w:p>
    <w:p w14:paraId="6BB20939" w14:textId="77777777" w:rsidR="00D03602" w:rsidRDefault="00AA2C76">
      <w:pPr>
        <w:spacing w:after="43" w:line="259" w:lineRule="auto"/>
        <w:ind w:left="360" w:firstLine="0"/>
      </w:pPr>
      <w:r>
        <w:rPr>
          <w:b/>
          <w:color w:val="181E40"/>
        </w:rPr>
        <w:t xml:space="preserve"> </w:t>
      </w:r>
    </w:p>
    <w:p w14:paraId="2818AFEB" w14:textId="77777777" w:rsidR="00D03602" w:rsidRDefault="00AA2C76">
      <w:pPr>
        <w:spacing w:after="0" w:line="259" w:lineRule="auto"/>
        <w:ind w:left="370"/>
      </w:pPr>
      <w:r>
        <w:rPr>
          <w:b/>
          <w:color w:val="182756"/>
          <w:sz w:val="22"/>
        </w:rPr>
        <w:t xml:space="preserve">Sources </w:t>
      </w:r>
    </w:p>
    <w:p w14:paraId="5621868A" w14:textId="77777777" w:rsidR="00D03602" w:rsidRDefault="00AA2C76">
      <w:pPr>
        <w:spacing w:after="0" w:line="259" w:lineRule="auto"/>
        <w:ind w:left="0" w:firstLine="0"/>
      </w:pPr>
      <w:r>
        <w:t xml:space="preserve"> </w:t>
      </w:r>
    </w:p>
    <w:p w14:paraId="5F333080" w14:textId="77777777" w:rsidR="00D03602" w:rsidRDefault="00AA2C76">
      <w:pPr>
        <w:spacing w:after="0" w:line="259" w:lineRule="auto"/>
        <w:ind w:left="715"/>
      </w:pPr>
      <w:hyperlink r:id="rId12">
        <w:r>
          <w:rPr>
            <w:color w:val="0563C1"/>
            <w:u w:val="single" w:color="0563C1"/>
          </w:rPr>
          <w:t>Arizona Board of Regents 2-224</w:t>
        </w:r>
      </w:hyperlink>
      <w:hyperlink r:id="rId13">
        <w:r>
          <w:t xml:space="preserve"> </w:t>
        </w:r>
      </w:hyperlink>
    </w:p>
    <w:p w14:paraId="49D88C92" w14:textId="77777777" w:rsidR="00D03602" w:rsidRDefault="00AA2C76">
      <w:pPr>
        <w:spacing w:after="132" w:line="259" w:lineRule="auto"/>
        <w:ind w:left="0" w:firstLine="0"/>
      </w:pPr>
      <w:r>
        <w:t xml:space="preserve"> </w:t>
      </w:r>
    </w:p>
    <w:p w14:paraId="1395905D" w14:textId="77777777" w:rsidR="00D03602" w:rsidRPr="00A00CAA" w:rsidRDefault="00AA2C76">
      <w:pPr>
        <w:pStyle w:val="Heading1"/>
        <w:ind w:left="-5"/>
        <w:rPr>
          <w:sz w:val="20"/>
          <w:szCs w:val="22"/>
        </w:rPr>
      </w:pPr>
      <w:r w:rsidRPr="00A00CAA">
        <w:rPr>
          <w:sz w:val="24"/>
          <w:szCs w:val="22"/>
        </w:rPr>
        <w:t>A</w:t>
      </w:r>
      <w:r w:rsidRPr="00A00CAA">
        <w:rPr>
          <w:sz w:val="20"/>
          <w:szCs w:val="22"/>
        </w:rPr>
        <w:t>PPENDIX</w:t>
      </w:r>
      <w:r w:rsidRPr="00A00CAA">
        <w:rPr>
          <w:sz w:val="24"/>
          <w:szCs w:val="22"/>
        </w:rPr>
        <w:t xml:space="preserve"> </w:t>
      </w:r>
    </w:p>
    <w:p w14:paraId="6BCFF2A9" w14:textId="77777777" w:rsidR="00D03602" w:rsidRDefault="00AA2C76">
      <w:pPr>
        <w:spacing w:after="0" w:line="259" w:lineRule="auto"/>
        <w:ind w:left="0" w:firstLine="0"/>
      </w:pPr>
      <w:r>
        <w:t xml:space="preserve"> </w:t>
      </w:r>
    </w:p>
    <w:p w14:paraId="239D240C" w14:textId="77777777" w:rsidR="00D03602" w:rsidRDefault="00AA2C76">
      <w:pPr>
        <w:spacing w:after="725" w:line="259" w:lineRule="auto"/>
        <w:ind w:left="360" w:firstLine="0"/>
      </w:pPr>
      <w:r>
        <w:rPr>
          <w:color w:val="181F40"/>
        </w:rPr>
        <w:t xml:space="preserve">None. </w:t>
      </w:r>
    </w:p>
    <w:sectPr w:rsidR="00D03602" w:rsidSect="00AB760D">
      <w:footerReference w:type="default" r:id="rId14"/>
      <w:pgSz w:w="12240" w:h="15840"/>
      <w:pgMar w:top="630" w:right="1113" w:bottom="630" w:left="1152" w:header="432" w:footer="1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675AC" w14:textId="77777777" w:rsidR="00AA2C76" w:rsidRDefault="00AA2C76" w:rsidP="00D54CD7">
      <w:pPr>
        <w:spacing w:after="0" w:line="240" w:lineRule="auto"/>
      </w:pPr>
      <w:r>
        <w:separator/>
      </w:r>
    </w:p>
  </w:endnote>
  <w:endnote w:type="continuationSeparator" w:id="0">
    <w:p w14:paraId="44464538" w14:textId="77777777" w:rsidR="00AA2C76" w:rsidRDefault="00AA2C76" w:rsidP="00D54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84DBD" w14:textId="77777777" w:rsidR="00AB760D" w:rsidRPr="00AB760D" w:rsidRDefault="00AB760D">
    <w:pPr>
      <w:tabs>
        <w:tab w:val="center" w:pos="4550"/>
        <w:tab w:val="left" w:pos="5818"/>
      </w:tabs>
      <w:ind w:right="260"/>
      <w:jc w:val="right"/>
      <w:rPr>
        <w:rFonts w:ascii="Abadi" w:hAnsi="Abadi"/>
        <w:color w:val="071320" w:themeColor="text2" w:themeShade="80"/>
        <w:szCs w:val="20"/>
      </w:rPr>
    </w:pPr>
    <w:r w:rsidRPr="00AB760D">
      <w:rPr>
        <w:rFonts w:ascii="Abadi" w:hAnsi="Abadi"/>
        <w:color w:val="2C7FCE" w:themeColor="text2" w:themeTint="99"/>
        <w:spacing w:val="60"/>
        <w:szCs w:val="20"/>
      </w:rPr>
      <w:t>Page</w:t>
    </w:r>
    <w:r w:rsidRPr="00AB760D">
      <w:rPr>
        <w:rFonts w:ascii="Abadi" w:hAnsi="Abadi"/>
        <w:color w:val="2C7FCE" w:themeColor="text2" w:themeTint="99"/>
        <w:szCs w:val="20"/>
      </w:rPr>
      <w:t xml:space="preserve"> </w:t>
    </w:r>
    <w:r w:rsidRPr="00AB760D">
      <w:rPr>
        <w:rFonts w:ascii="Abadi" w:hAnsi="Abadi"/>
        <w:color w:val="0A1D30" w:themeColor="text2" w:themeShade="BF"/>
        <w:szCs w:val="20"/>
      </w:rPr>
      <w:fldChar w:fldCharType="begin"/>
    </w:r>
    <w:r w:rsidRPr="00AB760D">
      <w:rPr>
        <w:rFonts w:ascii="Abadi" w:hAnsi="Abadi"/>
        <w:color w:val="0A1D30" w:themeColor="text2" w:themeShade="BF"/>
        <w:szCs w:val="20"/>
      </w:rPr>
      <w:instrText xml:space="preserve"> PAGE   \* MERGEFORMAT </w:instrText>
    </w:r>
    <w:r w:rsidRPr="00AB760D">
      <w:rPr>
        <w:rFonts w:ascii="Abadi" w:hAnsi="Abadi"/>
        <w:color w:val="0A1D30" w:themeColor="text2" w:themeShade="BF"/>
        <w:szCs w:val="20"/>
      </w:rPr>
      <w:fldChar w:fldCharType="separate"/>
    </w:r>
    <w:r w:rsidRPr="00AB760D">
      <w:rPr>
        <w:rFonts w:ascii="Abadi" w:hAnsi="Abadi"/>
        <w:noProof/>
        <w:color w:val="0A1D30" w:themeColor="text2" w:themeShade="BF"/>
        <w:szCs w:val="20"/>
      </w:rPr>
      <w:t>1</w:t>
    </w:r>
    <w:r w:rsidRPr="00AB760D">
      <w:rPr>
        <w:rFonts w:ascii="Abadi" w:hAnsi="Abadi"/>
        <w:color w:val="0A1D30" w:themeColor="text2" w:themeShade="BF"/>
        <w:szCs w:val="20"/>
      </w:rPr>
      <w:fldChar w:fldCharType="end"/>
    </w:r>
    <w:r w:rsidRPr="00AB760D">
      <w:rPr>
        <w:rFonts w:ascii="Abadi" w:hAnsi="Abadi"/>
        <w:color w:val="0A1D30" w:themeColor="text2" w:themeShade="BF"/>
        <w:szCs w:val="20"/>
      </w:rPr>
      <w:t xml:space="preserve"> | </w:t>
    </w:r>
    <w:r w:rsidRPr="00AB760D">
      <w:rPr>
        <w:rFonts w:ascii="Abadi" w:hAnsi="Abadi"/>
        <w:color w:val="0A1D30" w:themeColor="text2" w:themeShade="BF"/>
        <w:szCs w:val="20"/>
      </w:rPr>
      <w:fldChar w:fldCharType="begin"/>
    </w:r>
    <w:r w:rsidRPr="00AB760D">
      <w:rPr>
        <w:rFonts w:ascii="Abadi" w:hAnsi="Abadi"/>
        <w:color w:val="0A1D30" w:themeColor="text2" w:themeShade="BF"/>
        <w:szCs w:val="20"/>
      </w:rPr>
      <w:instrText xml:space="preserve"> NUMPAGES  \* Arabic  \* MERGEFORMAT </w:instrText>
    </w:r>
    <w:r w:rsidRPr="00AB760D">
      <w:rPr>
        <w:rFonts w:ascii="Abadi" w:hAnsi="Abadi"/>
        <w:color w:val="0A1D30" w:themeColor="text2" w:themeShade="BF"/>
        <w:szCs w:val="20"/>
      </w:rPr>
      <w:fldChar w:fldCharType="separate"/>
    </w:r>
    <w:r w:rsidRPr="00AB760D">
      <w:rPr>
        <w:rFonts w:ascii="Abadi" w:hAnsi="Abadi"/>
        <w:noProof/>
        <w:color w:val="0A1D30" w:themeColor="text2" w:themeShade="BF"/>
        <w:szCs w:val="20"/>
      </w:rPr>
      <w:t>1</w:t>
    </w:r>
    <w:r w:rsidRPr="00AB760D">
      <w:rPr>
        <w:rFonts w:ascii="Abadi" w:hAnsi="Abadi"/>
        <w:color w:val="0A1D30" w:themeColor="text2" w:themeShade="BF"/>
        <w:szCs w:val="20"/>
      </w:rPr>
      <w:fldChar w:fldCharType="end"/>
    </w:r>
  </w:p>
  <w:p w14:paraId="60252D83" w14:textId="77777777" w:rsidR="00D54CD7" w:rsidRDefault="00D54C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8D538" w14:textId="77777777" w:rsidR="00AA2C76" w:rsidRDefault="00AA2C76" w:rsidP="00D54CD7">
      <w:pPr>
        <w:spacing w:after="0" w:line="240" w:lineRule="auto"/>
      </w:pPr>
      <w:r>
        <w:separator/>
      </w:r>
    </w:p>
  </w:footnote>
  <w:footnote w:type="continuationSeparator" w:id="0">
    <w:p w14:paraId="22923300" w14:textId="77777777" w:rsidR="00AA2C76" w:rsidRDefault="00AA2C76" w:rsidP="00D54C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1FA9"/>
    <w:multiLevelType w:val="hybridMultilevel"/>
    <w:tmpl w:val="989C2522"/>
    <w:lvl w:ilvl="0" w:tplc="DA662C3E">
      <w:start w:val="1"/>
      <w:numFmt w:val="upperLetter"/>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A8E1A4">
      <w:start w:val="1"/>
      <w:numFmt w:val="decimal"/>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C2E7726">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C968CF2">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08350A">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DEEAC7E">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8E4894">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2D66D54">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17208EC">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A226E0C"/>
    <w:multiLevelType w:val="hybridMultilevel"/>
    <w:tmpl w:val="2FF403D0"/>
    <w:lvl w:ilvl="0" w:tplc="B77CA358">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31C2A60">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E224676">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D50DE9A">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ABEE322">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A5EE062">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C28C18BA">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FF47DD4">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C98633A">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16cid:durableId="298924613">
    <w:abstractNumId w:val="1"/>
  </w:num>
  <w:num w:numId="2" w16cid:durableId="1964119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602"/>
    <w:rsid w:val="001D0BB3"/>
    <w:rsid w:val="00266C64"/>
    <w:rsid w:val="00661E84"/>
    <w:rsid w:val="009D7413"/>
    <w:rsid w:val="00A00CAA"/>
    <w:rsid w:val="00AA2C76"/>
    <w:rsid w:val="00AB760D"/>
    <w:rsid w:val="00D03602"/>
    <w:rsid w:val="00D54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87D2D"/>
  <w15:docId w15:val="{10904E03-2654-461B-B663-6A007F471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CAA"/>
    <w:pPr>
      <w:spacing w:after="4" w:line="250"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182756"/>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182756"/>
      <w:sz w:val="22"/>
    </w:rPr>
  </w:style>
  <w:style w:type="table" w:styleId="TableGrid">
    <w:name w:val="Table Grid"/>
    <w:basedOn w:val="TableNormal"/>
    <w:uiPriority w:val="39"/>
    <w:rsid w:val="00266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4C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CD7"/>
    <w:rPr>
      <w:rFonts w:ascii="Arial" w:eastAsia="Arial" w:hAnsi="Arial" w:cs="Arial"/>
      <w:color w:val="000000"/>
      <w:sz w:val="20"/>
    </w:rPr>
  </w:style>
  <w:style w:type="paragraph" w:styleId="Footer">
    <w:name w:val="footer"/>
    <w:basedOn w:val="Normal"/>
    <w:link w:val="FooterChar"/>
    <w:uiPriority w:val="99"/>
    <w:unhideWhenUsed/>
    <w:rsid w:val="00D54C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CD7"/>
    <w:rPr>
      <w:rFonts w:ascii="Arial" w:eastAsia="Arial" w:hAnsi="Arial" w:cs="Arial"/>
      <w:color w:val="000000"/>
      <w:sz w:val="20"/>
    </w:rPr>
  </w:style>
  <w:style w:type="paragraph" w:styleId="ListParagraph">
    <w:name w:val="List Paragraph"/>
    <w:basedOn w:val="Normal"/>
    <w:uiPriority w:val="34"/>
    <w:qFormat/>
    <w:rsid w:val="00A00C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au.edu/university-policy-library/wp-content/uploads/sites/26/Standard-Class-Meeting-Times-TABLE.pdf" TargetMode="External"/><Relationship Id="rId13" Type="http://schemas.openxmlformats.org/officeDocument/2006/relationships/hyperlink" Target="https://public.azregents.edu/Policy%20Manual/2-224-Academic%20Credit.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ublic.azregents.edu/Policy%20Manual/2-224-Academic%20Credit.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u.edu/university-policy-library/wp-content/uploads/sites/26/Standard-Class-Meeting-Times-TABLE.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nau.edu/university-policy-library/wp-content/uploads/sites/26/Standard-Class-Meeting-Times-TABLE.pdf" TargetMode="External"/><Relationship Id="rId4" Type="http://schemas.openxmlformats.org/officeDocument/2006/relationships/webSettings" Target="webSettings.xml"/><Relationship Id="rId9" Type="http://schemas.openxmlformats.org/officeDocument/2006/relationships/hyperlink" Target="https://nau.edu/university-policy-library/wp-content/uploads/sites/26/Standard-Class-Meeting-Times-TABLE.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Grisham</dc:creator>
  <cp:keywords/>
  <cp:lastModifiedBy>Marilyn E McDonald</cp:lastModifiedBy>
  <cp:revision>2</cp:revision>
  <dcterms:created xsi:type="dcterms:W3CDTF">2026-06-11T00:35:00Z</dcterms:created>
  <dcterms:modified xsi:type="dcterms:W3CDTF">2026-06-11T00:35:00Z</dcterms:modified>
</cp:coreProperties>
</file>