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bCs w:val="0"/>
          <w:caps w:val="0"/>
          <w:color w:val="auto"/>
          <w:spacing w:val="0"/>
          <w:sz w:val="20"/>
          <w:szCs w:val="20"/>
          <w:lang w:bidi="ar-SA"/>
        </w:rPr>
        <w:id w:val="-668944541"/>
        <w:docPartObj>
          <w:docPartGallery w:val="Table of Contents"/>
          <w:docPartUnique/>
        </w:docPartObj>
      </w:sdtPr>
      <w:sdtEndPr>
        <w:rPr>
          <w:noProof/>
        </w:rPr>
      </w:sdtEndPr>
      <w:sdtContent>
        <w:p w14:paraId="4AC97C96" w14:textId="77777777" w:rsidR="00FC6CC2" w:rsidRDefault="00FC6CC2">
          <w:pPr>
            <w:pStyle w:val="TOCHeading"/>
          </w:pPr>
          <w:r>
            <w:t>Table of Contents</w:t>
          </w:r>
        </w:p>
        <w:p w14:paraId="2307C138" w14:textId="3456CF19" w:rsidR="007E7FB6" w:rsidRDefault="00FC6CC2">
          <w:pPr>
            <w:pStyle w:val="TOC1"/>
            <w:tabs>
              <w:tab w:val="right" w:leader="dot" w:pos="9350"/>
            </w:tabs>
            <w:rPr>
              <w:noProof/>
              <w:sz w:val="22"/>
              <w:szCs w:val="22"/>
            </w:rPr>
          </w:pPr>
          <w:r>
            <w:fldChar w:fldCharType="begin"/>
          </w:r>
          <w:r>
            <w:instrText xml:space="preserve"> TOC \o "1-3" \h \z \u </w:instrText>
          </w:r>
          <w:r>
            <w:fldChar w:fldCharType="separate"/>
          </w:r>
          <w:hyperlink w:anchor="_Toc63335821" w:history="1">
            <w:r w:rsidR="007E7FB6" w:rsidRPr="00A93A80">
              <w:rPr>
                <w:rStyle w:val="Hyperlink"/>
                <w:noProof/>
              </w:rPr>
              <w:t>Overview</w:t>
            </w:r>
            <w:r w:rsidR="007E7FB6">
              <w:rPr>
                <w:noProof/>
                <w:webHidden/>
              </w:rPr>
              <w:tab/>
            </w:r>
            <w:r w:rsidR="007E7FB6">
              <w:rPr>
                <w:noProof/>
                <w:webHidden/>
              </w:rPr>
              <w:fldChar w:fldCharType="begin"/>
            </w:r>
            <w:r w:rsidR="007E7FB6">
              <w:rPr>
                <w:noProof/>
                <w:webHidden/>
              </w:rPr>
              <w:instrText xml:space="preserve"> PAGEREF _Toc63335821 \h </w:instrText>
            </w:r>
            <w:r w:rsidR="007E7FB6">
              <w:rPr>
                <w:noProof/>
                <w:webHidden/>
              </w:rPr>
            </w:r>
            <w:r w:rsidR="007E7FB6">
              <w:rPr>
                <w:noProof/>
                <w:webHidden/>
              </w:rPr>
              <w:fldChar w:fldCharType="separate"/>
            </w:r>
            <w:r w:rsidR="007E7FB6">
              <w:rPr>
                <w:noProof/>
                <w:webHidden/>
              </w:rPr>
              <w:t>2</w:t>
            </w:r>
            <w:r w:rsidR="007E7FB6">
              <w:rPr>
                <w:noProof/>
                <w:webHidden/>
              </w:rPr>
              <w:fldChar w:fldCharType="end"/>
            </w:r>
          </w:hyperlink>
        </w:p>
        <w:p w14:paraId="7B8C45E7" w14:textId="377A80E9" w:rsidR="007E7FB6" w:rsidRDefault="007E7FB6">
          <w:pPr>
            <w:pStyle w:val="TOC1"/>
            <w:tabs>
              <w:tab w:val="right" w:leader="dot" w:pos="9350"/>
            </w:tabs>
            <w:rPr>
              <w:noProof/>
              <w:sz w:val="22"/>
              <w:szCs w:val="22"/>
            </w:rPr>
          </w:pPr>
          <w:hyperlink w:anchor="_Toc63335822" w:history="1">
            <w:r w:rsidRPr="00A93A80">
              <w:rPr>
                <w:rStyle w:val="Hyperlink"/>
                <w:noProof/>
              </w:rPr>
              <w:t>Tutorial</w:t>
            </w:r>
            <w:r>
              <w:rPr>
                <w:noProof/>
                <w:webHidden/>
              </w:rPr>
              <w:tab/>
            </w:r>
            <w:r>
              <w:rPr>
                <w:noProof/>
                <w:webHidden/>
              </w:rPr>
              <w:fldChar w:fldCharType="begin"/>
            </w:r>
            <w:r>
              <w:rPr>
                <w:noProof/>
                <w:webHidden/>
              </w:rPr>
              <w:instrText xml:space="preserve"> PAGEREF _Toc63335822 \h </w:instrText>
            </w:r>
            <w:r>
              <w:rPr>
                <w:noProof/>
                <w:webHidden/>
              </w:rPr>
            </w:r>
            <w:r>
              <w:rPr>
                <w:noProof/>
                <w:webHidden/>
              </w:rPr>
              <w:fldChar w:fldCharType="separate"/>
            </w:r>
            <w:r>
              <w:rPr>
                <w:noProof/>
                <w:webHidden/>
              </w:rPr>
              <w:t>2</w:t>
            </w:r>
            <w:r>
              <w:rPr>
                <w:noProof/>
                <w:webHidden/>
              </w:rPr>
              <w:fldChar w:fldCharType="end"/>
            </w:r>
          </w:hyperlink>
        </w:p>
        <w:p w14:paraId="4F62A77A" w14:textId="73568156" w:rsidR="007E7FB6" w:rsidRDefault="007E7FB6">
          <w:pPr>
            <w:pStyle w:val="TOC1"/>
            <w:tabs>
              <w:tab w:val="right" w:leader="dot" w:pos="9350"/>
            </w:tabs>
            <w:rPr>
              <w:noProof/>
              <w:sz w:val="22"/>
              <w:szCs w:val="22"/>
            </w:rPr>
          </w:pPr>
          <w:hyperlink w:anchor="_Toc63335823" w:history="1">
            <w:r w:rsidRPr="00A93A80">
              <w:rPr>
                <w:rStyle w:val="Hyperlink"/>
                <w:noProof/>
              </w:rPr>
              <w:t>Reference</w:t>
            </w:r>
            <w:r>
              <w:rPr>
                <w:noProof/>
                <w:webHidden/>
              </w:rPr>
              <w:tab/>
            </w:r>
            <w:r>
              <w:rPr>
                <w:noProof/>
                <w:webHidden/>
              </w:rPr>
              <w:fldChar w:fldCharType="begin"/>
            </w:r>
            <w:r>
              <w:rPr>
                <w:noProof/>
                <w:webHidden/>
              </w:rPr>
              <w:instrText xml:space="preserve"> PAGEREF _Toc63335823 \h </w:instrText>
            </w:r>
            <w:r>
              <w:rPr>
                <w:noProof/>
                <w:webHidden/>
              </w:rPr>
            </w:r>
            <w:r>
              <w:rPr>
                <w:noProof/>
                <w:webHidden/>
              </w:rPr>
              <w:fldChar w:fldCharType="separate"/>
            </w:r>
            <w:r>
              <w:rPr>
                <w:noProof/>
                <w:webHidden/>
              </w:rPr>
              <w:t>9</w:t>
            </w:r>
            <w:r>
              <w:rPr>
                <w:noProof/>
                <w:webHidden/>
              </w:rPr>
              <w:fldChar w:fldCharType="end"/>
            </w:r>
          </w:hyperlink>
        </w:p>
        <w:p w14:paraId="4AC97C9A" w14:textId="02737979" w:rsidR="00FC6CC2" w:rsidRDefault="00FC6CC2">
          <w:r>
            <w:rPr>
              <w:b/>
              <w:bCs/>
              <w:noProof/>
            </w:rPr>
            <w:fldChar w:fldCharType="end"/>
          </w:r>
        </w:p>
      </w:sdtContent>
    </w:sdt>
    <w:p w14:paraId="7EF2A8DB" w14:textId="77777777" w:rsidR="0039729A" w:rsidRDefault="0039729A">
      <w:pPr>
        <w:rPr>
          <w:b/>
          <w:bCs/>
          <w:caps/>
          <w:color w:val="FFFFFF" w:themeColor="background1"/>
          <w:spacing w:val="15"/>
          <w:sz w:val="22"/>
          <w:szCs w:val="22"/>
        </w:rPr>
      </w:pPr>
      <w:r>
        <w:br w:type="page"/>
      </w:r>
    </w:p>
    <w:p w14:paraId="4AC97C9F" w14:textId="2A0A13D6" w:rsidR="00F63C69" w:rsidRDefault="009632DC" w:rsidP="00F63C69">
      <w:pPr>
        <w:pStyle w:val="Heading1"/>
      </w:pPr>
      <w:bookmarkStart w:id="0" w:name="_Toc63335821"/>
      <w:r>
        <w:lastRenderedPageBreak/>
        <w:t>Overview</w:t>
      </w:r>
      <w:bookmarkEnd w:id="0"/>
    </w:p>
    <w:p w14:paraId="5FA7D2E1" w14:textId="2862CD65" w:rsidR="009632DC" w:rsidRDefault="00A92AF0">
      <w:r>
        <w:t xml:space="preserve">The Administer Student Exceptions role is an extension of the Authorize Student Exceptions role.  </w:t>
      </w:r>
      <w:proofErr w:type="gramStart"/>
      <w:r>
        <w:t>This is a result that the Administer Student Exceptions page is the “queue” of all of the submitted student exceptions that have been submitted by advisors across the University.</w:t>
      </w:r>
      <w:proofErr w:type="gramEnd"/>
      <w:r>
        <w:t xml:space="preserve">  Users must have the Exception Processor Role (</w:t>
      </w:r>
      <w:r w:rsidRPr="00A92AF0">
        <w:rPr>
          <w:b/>
        </w:rPr>
        <w:t>NAU_AI AAR Exception Processor</w:t>
      </w:r>
      <w:r>
        <w:t xml:space="preserve">) </w:t>
      </w:r>
      <w:proofErr w:type="gramStart"/>
      <w:r>
        <w:t>in order to actually process</w:t>
      </w:r>
      <w:proofErr w:type="gramEnd"/>
      <w:r>
        <w:t xml:space="preserve"> the exceptions from the Administer Student Exceptions page for them to be visible in the student’s AAR.</w:t>
      </w:r>
    </w:p>
    <w:p w14:paraId="3E44C2E8" w14:textId="39356B08" w:rsidR="0039729A" w:rsidRDefault="009632DC" w:rsidP="009632DC">
      <w:pPr>
        <w:pStyle w:val="Heading1"/>
      </w:pPr>
      <w:bookmarkStart w:id="1" w:name="_Toc63335822"/>
      <w:r>
        <w:t>Tutorial</w:t>
      </w:r>
      <w:bookmarkEnd w:id="1"/>
    </w:p>
    <w:p w14:paraId="7E60093B" w14:textId="54F283D8" w:rsidR="0031257E" w:rsidRDefault="008456C3" w:rsidP="00A92AF0">
      <w:r>
        <w:t>Processing Exception</w:t>
      </w:r>
      <w:r w:rsidR="007E7FB6">
        <w:t>s</w:t>
      </w:r>
      <w:r>
        <w:t xml:space="preserve"> is an extremely </w:t>
      </w:r>
      <w:r w:rsidRPr="008456C3">
        <w:t xml:space="preserve">powerful </w:t>
      </w:r>
      <w:r w:rsidR="007E7FB6">
        <w:t>role</w:t>
      </w:r>
      <w:r w:rsidRPr="008456C3">
        <w:t>.  Exceptions can make it so a student</w:t>
      </w:r>
      <w:r w:rsidR="004C108A">
        <w:t>’s AAR collapses and the student</w:t>
      </w:r>
      <w:r w:rsidRPr="008456C3">
        <w:t xml:space="preserve"> can graduate – and if done incorrectly, a degree </w:t>
      </w:r>
      <w:proofErr w:type="gramStart"/>
      <w:r w:rsidRPr="008456C3">
        <w:t>can be erroneously awarded</w:t>
      </w:r>
      <w:proofErr w:type="gramEnd"/>
      <w:r w:rsidRPr="008456C3">
        <w:t xml:space="preserve">.  </w:t>
      </w:r>
      <w:r>
        <w:t xml:space="preserve">Thus, users without the Exception Processor Role </w:t>
      </w:r>
      <w:r w:rsidR="007E7FB6">
        <w:t xml:space="preserve">security </w:t>
      </w:r>
      <w:r>
        <w:t xml:space="preserve">participate in this two step-process of submitting the exception, and a user reviews it and processes the exception </w:t>
      </w:r>
      <w:proofErr w:type="gramStart"/>
      <w:r>
        <w:t>to then</w:t>
      </w:r>
      <w:r w:rsidR="007E7FB6">
        <w:t xml:space="preserve"> have</w:t>
      </w:r>
      <w:proofErr w:type="gramEnd"/>
      <w:r w:rsidR="007E7FB6">
        <w:t xml:space="preserve"> it</w:t>
      </w:r>
      <w:r>
        <w:t xml:space="preserve"> appear in the student’s AAR.</w:t>
      </w:r>
    </w:p>
    <w:p w14:paraId="7EAD8F79" w14:textId="48028BED" w:rsidR="008456C3" w:rsidRPr="007E7FB6" w:rsidRDefault="004C108A" w:rsidP="00A92AF0">
      <w:pPr>
        <w:rPr>
          <w:b/>
          <w:color w:val="FF0000"/>
        </w:rPr>
      </w:pPr>
      <w:r>
        <w:t>Again, t</w:t>
      </w:r>
      <w:r w:rsidR="008456C3">
        <w:t xml:space="preserve">he Administer Student Exceptions page is similar to a “queue” where all of the submitted exceptions </w:t>
      </w:r>
      <w:r w:rsidR="007E7FB6">
        <w:t xml:space="preserve">for major, minor, certificate, and emphasis </w:t>
      </w:r>
      <w:r>
        <w:t>requirements</w:t>
      </w:r>
      <w:r w:rsidR="007E7FB6">
        <w:t xml:space="preserve"> </w:t>
      </w:r>
      <w:r w:rsidR="008456C3">
        <w:t xml:space="preserve">wait until they </w:t>
      </w:r>
      <w:proofErr w:type="gramStart"/>
      <w:r w:rsidR="008456C3">
        <w:t>are processed</w:t>
      </w:r>
      <w:proofErr w:type="gramEnd"/>
      <w:r w:rsidR="008456C3">
        <w:t xml:space="preserve"> by the Exception Processors for individual colleges.  </w:t>
      </w:r>
      <w:proofErr w:type="gramStart"/>
      <w:r w:rsidR="008456C3" w:rsidRPr="007E7FB6">
        <w:rPr>
          <w:b/>
          <w:color w:val="FF0000"/>
        </w:rPr>
        <w:t>All Liberal Studies, Diversity, and University Requirements exceptions are processed by the AAR Team</w:t>
      </w:r>
      <w:proofErr w:type="gramEnd"/>
      <w:r w:rsidR="008456C3" w:rsidRPr="007E7FB6">
        <w:rPr>
          <w:b/>
          <w:color w:val="FF0000"/>
        </w:rPr>
        <w:t>.</w:t>
      </w:r>
    </w:p>
    <w:p w14:paraId="2172183C" w14:textId="77777777" w:rsidR="007E7FB6" w:rsidRDefault="007E7FB6" w:rsidP="00A92AF0">
      <w:pPr>
        <w:rPr>
          <w:b/>
        </w:rPr>
      </w:pPr>
    </w:p>
    <w:p w14:paraId="3FF11A51" w14:textId="77777777" w:rsidR="007E7FB6" w:rsidRDefault="007E7FB6" w:rsidP="00A92AF0">
      <w:pPr>
        <w:rPr>
          <w:b/>
        </w:rPr>
      </w:pPr>
    </w:p>
    <w:p w14:paraId="58D54CF9" w14:textId="1A4ABAE8" w:rsidR="00A92AF0" w:rsidRPr="00402280" w:rsidRDefault="00A92AF0" w:rsidP="00A92AF0">
      <w:pPr>
        <w:rPr>
          <w:b/>
        </w:rPr>
      </w:pPr>
      <w:r w:rsidRPr="00402280">
        <w:rPr>
          <w:b/>
        </w:rPr>
        <w:t>Academic Advisement -&gt; Student Advisement -&gt; Administer Student Exceptions</w:t>
      </w:r>
    </w:p>
    <w:p w14:paraId="09F6E4CC" w14:textId="79ED2E3D" w:rsidR="00A92AF0" w:rsidRDefault="00A92AF0" w:rsidP="00A92AF0">
      <w:r>
        <w:rPr>
          <w:noProof/>
        </w:rPr>
        <w:lastRenderedPageBreak/>
        <w:drawing>
          <wp:inline distT="0" distB="0" distL="0" distR="0" wp14:anchorId="5FB40EA5" wp14:editId="19A2B40C">
            <wp:extent cx="5943600" cy="4756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7-17_14-54-45.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756150"/>
                    </a:xfrm>
                    <a:prstGeom prst="rect">
                      <a:avLst/>
                    </a:prstGeom>
                  </pic:spPr>
                </pic:pic>
              </a:graphicData>
            </a:graphic>
          </wp:inline>
        </w:drawing>
      </w:r>
    </w:p>
    <w:p w14:paraId="5651E757" w14:textId="77777777" w:rsidR="00A92AF0" w:rsidRDefault="00A92AF0" w:rsidP="004C108A">
      <w:r>
        <w:t xml:space="preserve">This page notifies users of what exceptions </w:t>
      </w:r>
      <w:proofErr w:type="gramStart"/>
      <w:r>
        <w:t>have been submitted, cancelled or completed</w:t>
      </w:r>
      <w:proofErr w:type="gramEnd"/>
      <w:r>
        <w:t xml:space="preserve">.  This </w:t>
      </w:r>
      <w:proofErr w:type="gramStart"/>
      <w:r>
        <w:t>can also be filtered</w:t>
      </w:r>
      <w:proofErr w:type="gramEnd"/>
      <w:r>
        <w:t xml:space="preserve"> to each individual college, date range, campus location, etc.</w:t>
      </w:r>
    </w:p>
    <w:p w14:paraId="623EBB04" w14:textId="5BCAAD76" w:rsidR="00A92AF0" w:rsidRDefault="00A92AF0" w:rsidP="004C108A">
      <w:r>
        <w:t xml:space="preserve">Advisors will need to filter their exceptions to their own college and exceptions that </w:t>
      </w:r>
      <w:proofErr w:type="gramStart"/>
      <w:r>
        <w:t>have been submitted</w:t>
      </w:r>
      <w:proofErr w:type="gramEnd"/>
      <w:r>
        <w:t>:</w:t>
      </w:r>
    </w:p>
    <w:p w14:paraId="1B996CA3" w14:textId="77777777" w:rsidR="00A92AF0" w:rsidRDefault="00A92AF0" w:rsidP="00A92AF0">
      <w:pPr>
        <w:pStyle w:val="ListParagraph"/>
      </w:pPr>
    </w:p>
    <w:p w14:paraId="67E95712" w14:textId="77777777" w:rsidR="00A92AF0" w:rsidRDefault="00A92AF0" w:rsidP="00A92AF0">
      <w:pPr>
        <w:pStyle w:val="ListParagraph"/>
        <w:ind w:left="0"/>
      </w:pPr>
      <w:r>
        <w:rPr>
          <w:noProof/>
        </w:rPr>
        <w:lastRenderedPageBreak/>
        <w:drawing>
          <wp:inline distT="0" distB="0" distL="0" distR="0" wp14:anchorId="6E7A65B5" wp14:editId="689CC3C4">
            <wp:extent cx="5943600" cy="44494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7-24_13-10-26.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49445"/>
                    </a:xfrm>
                    <a:prstGeom prst="rect">
                      <a:avLst/>
                    </a:prstGeom>
                  </pic:spPr>
                </pic:pic>
              </a:graphicData>
            </a:graphic>
          </wp:inline>
        </w:drawing>
      </w:r>
    </w:p>
    <w:p w14:paraId="7DBE2DAB" w14:textId="77777777" w:rsidR="00A92AF0" w:rsidRDefault="00A92AF0" w:rsidP="00A92AF0">
      <w:pPr>
        <w:pStyle w:val="ListParagraph"/>
        <w:ind w:left="0"/>
      </w:pPr>
      <w:r>
        <w:t>When utilizing the magnifying glass to identify an individual college click on the “Look Up” button to obtain a listing of all of the Colleges and their codes:</w:t>
      </w:r>
    </w:p>
    <w:p w14:paraId="03EAFB0D" w14:textId="77777777" w:rsidR="00A92AF0" w:rsidRDefault="00A92AF0" w:rsidP="00A92AF0">
      <w:pPr>
        <w:pStyle w:val="ListParagraph"/>
        <w:ind w:left="0"/>
      </w:pPr>
      <w:r>
        <w:rPr>
          <w:noProof/>
        </w:rPr>
        <w:lastRenderedPageBreak/>
        <w:drawing>
          <wp:inline distT="0" distB="0" distL="0" distR="0" wp14:anchorId="610F2F83" wp14:editId="1E9E915A">
            <wp:extent cx="3057525" cy="4138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07-24_13-11-49.png"/>
                    <pic:cNvPicPr/>
                  </pic:nvPicPr>
                  <pic:blipFill>
                    <a:blip r:embed="rId14">
                      <a:extLst>
                        <a:ext uri="{28A0092B-C50C-407E-A947-70E740481C1C}">
                          <a14:useLocalDpi xmlns:a14="http://schemas.microsoft.com/office/drawing/2010/main" val="0"/>
                        </a:ext>
                      </a:extLst>
                    </a:blip>
                    <a:stretch>
                      <a:fillRect/>
                    </a:stretch>
                  </pic:blipFill>
                  <pic:spPr>
                    <a:xfrm>
                      <a:off x="0" y="0"/>
                      <a:ext cx="3108084" cy="4207285"/>
                    </a:xfrm>
                    <a:prstGeom prst="rect">
                      <a:avLst/>
                    </a:prstGeom>
                  </pic:spPr>
                </pic:pic>
              </a:graphicData>
            </a:graphic>
          </wp:inline>
        </w:drawing>
      </w:r>
    </w:p>
    <w:p w14:paraId="68ADD3FF" w14:textId="77777777" w:rsidR="00A92AF0" w:rsidRDefault="00A92AF0" w:rsidP="00A92AF0">
      <w:pPr>
        <w:pStyle w:val="ListParagraph"/>
      </w:pPr>
    </w:p>
    <w:p w14:paraId="6FAAD944" w14:textId="77777777" w:rsidR="00A92AF0" w:rsidRDefault="00A92AF0" w:rsidP="00A92AF0">
      <w:r>
        <w:t xml:space="preserve">Once the status </w:t>
      </w:r>
      <w:proofErr w:type="gramStart"/>
      <w:r>
        <w:t>has been changed</w:t>
      </w:r>
      <w:proofErr w:type="gramEnd"/>
      <w:r>
        <w:t xml:space="preserve"> to “Submitted” and the College has been identified, click on the “Search” button to obtain a list of all of the exceptions that have been submitted for that college:</w:t>
      </w:r>
    </w:p>
    <w:p w14:paraId="085DFAAB" w14:textId="77777777" w:rsidR="00A92AF0" w:rsidRDefault="00A92AF0" w:rsidP="00A92AF0">
      <w:r>
        <w:rPr>
          <w:noProof/>
        </w:rPr>
        <w:lastRenderedPageBreak/>
        <w:drawing>
          <wp:inline distT="0" distB="0" distL="0" distR="0" wp14:anchorId="443AFE97" wp14:editId="2645B8FB">
            <wp:extent cx="6858000" cy="33058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07-24_13-19-50.png"/>
                    <pic:cNvPicPr/>
                  </pic:nvPicPr>
                  <pic:blipFill>
                    <a:blip r:embed="rId15">
                      <a:extLst>
                        <a:ext uri="{28A0092B-C50C-407E-A947-70E740481C1C}">
                          <a14:useLocalDpi xmlns:a14="http://schemas.microsoft.com/office/drawing/2010/main" val="0"/>
                        </a:ext>
                      </a:extLst>
                    </a:blip>
                    <a:stretch>
                      <a:fillRect/>
                    </a:stretch>
                  </pic:blipFill>
                  <pic:spPr>
                    <a:xfrm>
                      <a:off x="0" y="0"/>
                      <a:ext cx="6858000" cy="3305810"/>
                    </a:xfrm>
                    <a:prstGeom prst="rect">
                      <a:avLst/>
                    </a:prstGeom>
                  </pic:spPr>
                </pic:pic>
              </a:graphicData>
            </a:graphic>
          </wp:inline>
        </w:drawing>
      </w:r>
    </w:p>
    <w:p w14:paraId="18663A6E" w14:textId="18F45FF6" w:rsidR="00A92AF0" w:rsidRDefault="00A92AF0" w:rsidP="00A92AF0">
      <w:r>
        <w:t>This will bring up the list of all of the exceptions that have been submitted for that college, but not actually processed</w:t>
      </w:r>
      <w:r w:rsidR="00475C90">
        <w:t>/visible in the student’s AAR</w:t>
      </w:r>
      <w:r>
        <w:t>:</w:t>
      </w:r>
    </w:p>
    <w:p w14:paraId="24DC4C4E" w14:textId="3509946F" w:rsidR="00A92AF0" w:rsidRDefault="008B58FF" w:rsidP="00A92AF0">
      <w:r>
        <w:rPr>
          <w:noProof/>
        </w:rPr>
        <w:lastRenderedPageBreak/>
        <w:drawing>
          <wp:inline distT="0" distB="0" distL="0" distR="0" wp14:anchorId="4B90481B" wp14:editId="5D09ECF8">
            <wp:extent cx="6826323" cy="410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2-04_12-22-59.png"/>
                    <pic:cNvPicPr/>
                  </pic:nvPicPr>
                  <pic:blipFill>
                    <a:blip r:embed="rId16">
                      <a:extLst>
                        <a:ext uri="{28A0092B-C50C-407E-A947-70E740481C1C}">
                          <a14:useLocalDpi xmlns:a14="http://schemas.microsoft.com/office/drawing/2010/main" val="0"/>
                        </a:ext>
                      </a:extLst>
                    </a:blip>
                    <a:stretch>
                      <a:fillRect/>
                    </a:stretch>
                  </pic:blipFill>
                  <pic:spPr>
                    <a:xfrm>
                      <a:off x="0" y="0"/>
                      <a:ext cx="6829234" cy="4107026"/>
                    </a:xfrm>
                    <a:prstGeom prst="rect">
                      <a:avLst/>
                    </a:prstGeom>
                  </pic:spPr>
                </pic:pic>
              </a:graphicData>
            </a:graphic>
          </wp:inline>
        </w:drawing>
      </w:r>
    </w:p>
    <w:p w14:paraId="3268049C" w14:textId="77777777" w:rsidR="00A92AF0" w:rsidRDefault="00A92AF0" w:rsidP="00A92AF0">
      <w:pPr>
        <w:pStyle w:val="ListParagraph"/>
        <w:numPr>
          <w:ilvl w:val="0"/>
          <w:numId w:val="6"/>
        </w:numPr>
        <w:spacing w:before="0" w:after="160" w:line="259" w:lineRule="auto"/>
      </w:pPr>
      <w:r>
        <w:t>The ID Column is the EMPL ID for the student that had an exception submitted for them.</w:t>
      </w:r>
    </w:p>
    <w:p w14:paraId="5B8597F5" w14:textId="3CB5CB97" w:rsidR="00A92AF0" w:rsidRDefault="00A92AF0" w:rsidP="00A92AF0">
      <w:pPr>
        <w:pStyle w:val="ListParagraph"/>
        <w:numPr>
          <w:ilvl w:val="0"/>
          <w:numId w:val="6"/>
        </w:numPr>
        <w:spacing w:before="0" w:after="160" w:line="259" w:lineRule="auto"/>
      </w:pPr>
      <w:r>
        <w:t xml:space="preserve">The Exception ID Column is the </w:t>
      </w:r>
      <w:r w:rsidR="007B2748">
        <w:t xml:space="preserve">ID assigned from the exception </w:t>
      </w:r>
      <w:r w:rsidR="004C108A">
        <w:t xml:space="preserve">request </w:t>
      </w:r>
      <w:r w:rsidR="007B2748">
        <w:t xml:space="preserve">form submitted – this will be different </w:t>
      </w:r>
      <w:proofErr w:type="gramStart"/>
      <w:r w:rsidR="007B2748">
        <w:t>than</w:t>
      </w:r>
      <w:proofErr w:type="gramEnd"/>
      <w:r w:rsidR="007B2748">
        <w:t xml:space="preserve"> the Authorization Override (AO) number that is assigned when the exception is processed.</w:t>
      </w:r>
    </w:p>
    <w:p w14:paraId="2F237031" w14:textId="7F619668" w:rsidR="00A92AF0" w:rsidRDefault="00A92AF0" w:rsidP="00A92AF0">
      <w:pPr>
        <w:pStyle w:val="ListParagraph"/>
        <w:numPr>
          <w:ilvl w:val="0"/>
          <w:numId w:val="6"/>
        </w:numPr>
        <w:spacing w:before="0" w:after="160" w:line="259" w:lineRule="auto"/>
      </w:pPr>
      <w:r>
        <w:t xml:space="preserve">The </w:t>
      </w:r>
      <w:proofErr w:type="spellStart"/>
      <w:r>
        <w:t>Seq</w:t>
      </w:r>
      <w:proofErr w:type="spellEnd"/>
      <w:r>
        <w:t xml:space="preserve"> </w:t>
      </w:r>
      <w:proofErr w:type="spellStart"/>
      <w:r>
        <w:t>Nbr</w:t>
      </w:r>
      <w:proofErr w:type="spellEnd"/>
      <w:r>
        <w:t xml:space="preserve"> Column is the number of the exception submitted.  This number should always be </w:t>
      </w:r>
      <w:proofErr w:type="gramStart"/>
      <w:r>
        <w:t>1</w:t>
      </w:r>
      <w:proofErr w:type="gramEnd"/>
      <w:r>
        <w:t xml:space="preserve"> because there should be a new exception submitted for each exception.  You cannot stack exceptions on top of each other on different rows</w:t>
      </w:r>
      <w:r w:rsidR="007B2748">
        <w:t xml:space="preserve"> in PeopleSoft</w:t>
      </w:r>
      <w:proofErr w:type="gramStart"/>
      <w:r w:rsidR="00327BD9">
        <w:t>.</w:t>
      </w:r>
      <w:r>
        <w:t>.</w:t>
      </w:r>
      <w:proofErr w:type="gramEnd"/>
    </w:p>
    <w:p w14:paraId="7D93C7A3" w14:textId="77777777" w:rsidR="00A92AF0" w:rsidRDefault="00A92AF0" w:rsidP="00A92AF0">
      <w:pPr>
        <w:pStyle w:val="ListParagraph"/>
        <w:numPr>
          <w:ilvl w:val="0"/>
          <w:numId w:val="6"/>
        </w:numPr>
        <w:spacing w:before="0" w:after="160" w:line="259" w:lineRule="auto"/>
      </w:pPr>
      <w:r>
        <w:t>The Date Requested Column is the column indicating the date that the exception submitted.</w:t>
      </w:r>
    </w:p>
    <w:p w14:paraId="295EAF21" w14:textId="77777777" w:rsidR="00A92AF0" w:rsidRDefault="00A92AF0" w:rsidP="00A92AF0">
      <w:pPr>
        <w:pStyle w:val="ListParagraph"/>
        <w:numPr>
          <w:ilvl w:val="0"/>
          <w:numId w:val="6"/>
        </w:numPr>
        <w:spacing w:before="0" w:after="160" w:line="259" w:lineRule="auto"/>
      </w:pPr>
      <w:r>
        <w:t xml:space="preserve">The User ID Column is the user ID of the individual who submitted the exception.  Thus, if there are any questions about the exception, the processor can ask the person who submitted it.  </w:t>
      </w:r>
    </w:p>
    <w:p w14:paraId="307142A8" w14:textId="77777777" w:rsidR="00A92AF0" w:rsidRDefault="00A92AF0" w:rsidP="00A92AF0">
      <w:pPr>
        <w:pStyle w:val="ListParagraph"/>
        <w:numPr>
          <w:ilvl w:val="0"/>
          <w:numId w:val="6"/>
        </w:numPr>
        <w:spacing w:before="0" w:after="160" w:line="259" w:lineRule="auto"/>
      </w:pPr>
      <w:r>
        <w:t xml:space="preserve">The Request Status Column should all say “S” for Submitted.  Otherwise, it is “C” for </w:t>
      </w:r>
      <w:proofErr w:type="gramStart"/>
      <w:r>
        <w:t>Completed</w:t>
      </w:r>
      <w:proofErr w:type="gramEnd"/>
      <w:r>
        <w:t>, and “X” for Cancelled.</w:t>
      </w:r>
    </w:p>
    <w:p w14:paraId="0416ED51" w14:textId="3F9F72AA" w:rsidR="00A92AF0" w:rsidRDefault="00A92AF0" w:rsidP="00A92AF0">
      <w:pPr>
        <w:pStyle w:val="ListParagraph"/>
        <w:numPr>
          <w:ilvl w:val="0"/>
          <w:numId w:val="6"/>
        </w:numPr>
        <w:spacing w:before="0" w:after="160" w:line="259" w:lineRule="auto"/>
      </w:pPr>
      <w:r>
        <w:t xml:space="preserve">The Degree Checkout Status Column indicates if the student is eligible to apply to graduate (EG), or if they have applied to graduate (AG).  Students who have the AG status </w:t>
      </w:r>
      <w:proofErr w:type="gramStart"/>
      <w:r>
        <w:t xml:space="preserve">should be </w:t>
      </w:r>
      <w:r w:rsidR="00327BD9">
        <w:t>prioritized</w:t>
      </w:r>
      <w:proofErr w:type="gramEnd"/>
      <w:r w:rsidR="00327BD9">
        <w:t xml:space="preserve"> and </w:t>
      </w:r>
      <w:r w:rsidR="004C108A">
        <w:t xml:space="preserve">their exceptions </w:t>
      </w:r>
      <w:r>
        <w:t xml:space="preserve">processed </w:t>
      </w:r>
      <w:r w:rsidR="00327BD9">
        <w:t>first</w:t>
      </w:r>
      <w:r>
        <w:t>.</w:t>
      </w:r>
      <w:r w:rsidR="00327BD9">
        <w:t xml:space="preserve">  Then those with EG status </w:t>
      </w:r>
      <w:proofErr w:type="gramStart"/>
      <w:r w:rsidR="00327BD9">
        <w:t>should be prioritized</w:t>
      </w:r>
      <w:proofErr w:type="gramEnd"/>
      <w:r w:rsidR="00327BD9">
        <w:t xml:space="preserve"> next.</w:t>
      </w:r>
    </w:p>
    <w:p w14:paraId="7E9AFE6F" w14:textId="77777777" w:rsidR="00A92AF0" w:rsidRDefault="00A92AF0" w:rsidP="00A92AF0">
      <w:pPr>
        <w:pStyle w:val="ListParagraph"/>
        <w:numPr>
          <w:ilvl w:val="0"/>
          <w:numId w:val="6"/>
        </w:numPr>
        <w:spacing w:before="0" w:after="160" w:line="259" w:lineRule="auto"/>
      </w:pPr>
      <w:r>
        <w:t xml:space="preserve">The Except Type Column will mostly indicate “SC” for Substitute Course.  It can also indicate “SIP” for Student Individualized Plan (RARELY, if EVER, USED) or “CRL” for Change Requirement Line.  </w:t>
      </w:r>
    </w:p>
    <w:p w14:paraId="1B1FE981" w14:textId="77777777" w:rsidR="00A92AF0" w:rsidRDefault="00A92AF0" w:rsidP="00A92AF0">
      <w:pPr>
        <w:pStyle w:val="ListParagraph"/>
        <w:numPr>
          <w:ilvl w:val="0"/>
          <w:numId w:val="6"/>
        </w:numPr>
        <w:spacing w:before="0" w:after="160" w:line="259" w:lineRule="auto"/>
      </w:pPr>
      <w:r>
        <w:lastRenderedPageBreak/>
        <w:t>The College Column is the college that houses the plan that is getting an exception to it.</w:t>
      </w:r>
    </w:p>
    <w:p w14:paraId="324DB309" w14:textId="77777777" w:rsidR="00A92AF0" w:rsidRDefault="00A92AF0" w:rsidP="00A92AF0">
      <w:pPr>
        <w:pStyle w:val="ListParagraph"/>
        <w:numPr>
          <w:ilvl w:val="0"/>
          <w:numId w:val="6"/>
        </w:numPr>
        <w:spacing w:before="0" w:after="160" w:line="259" w:lineRule="auto"/>
      </w:pPr>
      <w:r>
        <w:t>The Campus Column is the campus for the student that needs the exception.</w:t>
      </w:r>
    </w:p>
    <w:p w14:paraId="69DA2A72" w14:textId="1C32FDEE" w:rsidR="00A92AF0" w:rsidRDefault="00A92AF0" w:rsidP="00A92AF0">
      <w:pPr>
        <w:pStyle w:val="ListParagraph"/>
        <w:numPr>
          <w:ilvl w:val="0"/>
          <w:numId w:val="6"/>
        </w:numPr>
        <w:spacing w:before="0" w:after="160" w:line="259" w:lineRule="auto"/>
      </w:pPr>
      <w:r>
        <w:t xml:space="preserve">The Except </w:t>
      </w:r>
      <w:proofErr w:type="spellStart"/>
      <w:r>
        <w:t>Dtl</w:t>
      </w:r>
      <w:proofErr w:type="spellEnd"/>
      <w:r>
        <w:t xml:space="preserve"> Column is the Exception Detail Column.  Clicking on the “Except </w:t>
      </w:r>
      <w:proofErr w:type="spellStart"/>
      <w:r>
        <w:t>Dtl</w:t>
      </w:r>
      <w:proofErr w:type="spellEnd"/>
      <w:r>
        <w:t xml:space="preserve">” button will bring up what advisors have submitted for the exception.  This </w:t>
      </w:r>
      <w:proofErr w:type="gramStart"/>
      <w:r>
        <w:t>is basically</w:t>
      </w:r>
      <w:proofErr w:type="gramEnd"/>
      <w:r>
        <w:t xml:space="preserve"> the “meat” of the exception </w:t>
      </w:r>
      <w:r w:rsidR="00327BD9">
        <w:t xml:space="preserve">for the </w:t>
      </w:r>
      <w:r>
        <w:t>processor</w:t>
      </w:r>
      <w:r w:rsidR="00327BD9">
        <w:t xml:space="preserve"> to follow</w:t>
      </w:r>
      <w:r>
        <w:t>.</w:t>
      </w:r>
    </w:p>
    <w:p w14:paraId="719B50DF" w14:textId="0A39AB55" w:rsidR="00A92AF0" w:rsidRDefault="00327BD9" w:rsidP="00A92AF0">
      <w:r>
        <w:t>Below</w:t>
      </w:r>
      <w:r w:rsidR="00A92AF0">
        <w:t xml:space="preserve"> is a</w:t>
      </w:r>
      <w:r>
        <w:t xml:space="preserve"> screen shot of the “Except </w:t>
      </w:r>
      <w:proofErr w:type="spellStart"/>
      <w:proofErr w:type="gramStart"/>
      <w:r>
        <w:t>Dlt</w:t>
      </w:r>
      <w:proofErr w:type="spellEnd"/>
      <w:r>
        <w:t>.</w:t>
      </w:r>
      <w:proofErr w:type="gramEnd"/>
      <w:r>
        <w:t>”  It is essentially the information that the advisor fills out on the Student Exception Request form</w:t>
      </w:r>
      <w:r w:rsidR="00A92AF0">
        <w:t>:</w:t>
      </w:r>
    </w:p>
    <w:p w14:paraId="2EB7E69C" w14:textId="0284DEF5" w:rsidR="00A92AF0" w:rsidRDefault="00327BD9" w:rsidP="00A92AF0">
      <w:r>
        <w:rPr>
          <w:noProof/>
        </w:rPr>
        <w:drawing>
          <wp:inline distT="0" distB="0" distL="0" distR="0" wp14:anchorId="3E1E09CE" wp14:editId="17421F69">
            <wp:extent cx="5943600" cy="2967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2-04_12-47-39.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967990"/>
                    </a:xfrm>
                    <a:prstGeom prst="rect">
                      <a:avLst/>
                    </a:prstGeom>
                  </pic:spPr>
                </pic:pic>
              </a:graphicData>
            </a:graphic>
          </wp:inline>
        </w:drawing>
      </w:r>
      <w:r w:rsidR="00A92AF0">
        <w:t>This page will indicate what the academic plan is for the student that needs the exception, what the RG, RQ, and Line is for where the course will need to go</w:t>
      </w:r>
      <w:r w:rsidR="004C108A">
        <w:t xml:space="preserve"> in the AAR</w:t>
      </w:r>
      <w:r w:rsidR="00A92AF0">
        <w:t xml:space="preserve">.  </w:t>
      </w:r>
    </w:p>
    <w:p w14:paraId="6016C3CA" w14:textId="77777777" w:rsidR="00A92AF0" w:rsidRDefault="00A92AF0" w:rsidP="00A92AF0">
      <w:r>
        <w:t xml:space="preserve">This page will also indicate what the messaging will need to be in the wording of the exception processing, as well as who has approved it.  Most often, processors will have two tabs open during the processing stage: </w:t>
      </w:r>
      <w:proofErr w:type="gramStart"/>
      <w:r>
        <w:t>1</w:t>
      </w:r>
      <w:proofErr w:type="gramEnd"/>
      <w:r>
        <w:t xml:space="preserve"> for the Administer Exceptions Page and 1 for the Authorize Student Exceptions Page.  It is handy to be able to copy the wording from this submitted exception to put into the processing exception page.</w:t>
      </w:r>
    </w:p>
    <w:p w14:paraId="64620368" w14:textId="77777777" w:rsidR="00A92AF0" w:rsidRDefault="00A92AF0" w:rsidP="00A92AF0">
      <w:r>
        <w:t xml:space="preserve">When the exception has been processed and saved, change the Request Status from “S” (Submitted) to “C” for Completed.  This will gray out the “Except </w:t>
      </w:r>
      <w:proofErr w:type="spellStart"/>
      <w:r>
        <w:t>Dtl</w:t>
      </w:r>
      <w:proofErr w:type="spellEnd"/>
      <w:r>
        <w:t xml:space="preserve">” button.  If someone ever needs to see the detail of the exception submission again, then </w:t>
      </w:r>
      <w:proofErr w:type="gramStart"/>
      <w:r>
        <w:t>they</w:t>
      </w:r>
      <w:proofErr w:type="gramEnd"/>
      <w:r>
        <w:t xml:space="preserve"> will need to change the Request Status from “C” back to “S” and do a search for submitted exceptions again.</w:t>
      </w:r>
    </w:p>
    <w:p w14:paraId="77E0E0EB" w14:textId="77777777" w:rsidR="007B6869" w:rsidRDefault="007B6869" w:rsidP="00A92AF0"/>
    <w:p w14:paraId="28D4A111" w14:textId="77777777" w:rsidR="007B6869" w:rsidRDefault="007B6869" w:rsidP="00A92AF0"/>
    <w:p w14:paraId="673E55F2" w14:textId="77777777" w:rsidR="007B6869" w:rsidRDefault="007B6869" w:rsidP="00A92AF0"/>
    <w:p w14:paraId="1A37D795" w14:textId="3CE85720" w:rsidR="00A92AF0" w:rsidRDefault="00A92AF0" w:rsidP="00A92AF0">
      <w:r>
        <w:t xml:space="preserve">It is always encouraged that processors run an Advisement Report prior to completing the exception, as well as after completing the exception.  This is just to ensure that all of the coursework appears as needed, and nothing different occurs outside of what </w:t>
      </w:r>
      <w:proofErr w:type="gramStart"/>
      <w:r>
        <w:t>is being processed</w:t>
      </w:r>
      <w:proofErr w:type="gramEnd"/>
      <w:r>
        <w:t>.</w:t>
      </w:r>
    </w:p>
    <w:p w14:paraId="38633EF7" w14:textId="54FEF042" w:rsidR="004C108A" w:rsidRDefault="004C108A" w:rsidP="00A92AF0"/>
    <w:p w14:paraId="5353F83B" w14:textId="0980552F" w:rsidR="004C108A" w:rsidRDefault="004C108A" w:rsidP="00A92AF0"/>
    <w:p w14:paraId="1B50A27A" w14:textId="77777777" w:rsidR="004C108A" w:rsidRDefault="004C108A" w:rsidP="00A92AF0"/>
    <w:p w14:paraId="34D0B200" w14:textId="4549747B" w:rsidR="009632DC" w:rsidRPr="009632DC" w:rsidRDefault="009632DC" w:rsidP="009632DC">
      <w:pPr>
        <w:pStyle w:val="Heading1"/>
      </w:pPr>
      <w:bookmarkStart w:id="2" w:name="_Toc63335823"/>
      <w:r>
        <w:t>Reference</w:t>
      </w:r>
      <w:bookmarkEnd w:id="2"/>
    </w:p>
    <w:p w14:paraId="71D4369E" w14:textId="77777777" w:rsidR="00E53EE6" w:rsidRDefault="00E53EE6" w:rsidP="00E53EE6">
      <w:r>
        <w:t xml:space="preserve">If additional assistance </w:t>
      </w:r>
      <w:proofErr w:type="gramStart"/>
      <w:r>
        <w:t>is needed</w:t>
      </w:r>
      <w:proofErr w:type="gramEnd"/>
      <w:r>
        <w:t xml:space="preserve">, please reach out to the Advisement Report (AAR) Team at </w:t>
      </w:r>
      <w:hyperlink r:id="rId18" w:history="1">
        <w:r>
          <w:rPr>
            <w:rStyle w:val="Hyperlink"/>
          </w:rPr>
          <w:t>Registrar.AdvisementReport@nau.edu</w:t>
        </w:r>
      </w:hyperlink>
      <w:r>
        <w:t xml:space="preserve"> for additional troubleshooting.</w:t>
      </w:r>
      <w:bookmarkStart w:id="3" w:name="_GoBack"/>
      <w:bookmarkEnd w:id="3"/>
    </w:p>
    <w:p w14:paraId="7FA41183" w14:textId="77777777" w:rsidR="007B6869" w:rsidRPr="0039729A" w:rsidRDefault="007B6869" w:rsidP="0039729A"/>
    <w:sectPr w:rsidR="007B6869" w:rsidRPr="0039729A" w:rsidSect="0039729A">
      <w:headerReference w:type="default" r:id="rId19"/>
      <w:footerReference w:type="default" r:id="rId20"/>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7CA5" w14:textId="77777777" w:rsidR="00B2076D" w:rsidRDefault="00B2076D" w:rsidP="00F63C69">
      <w:pPr>
        <w:spacing w:before="0" w:after="0" w:line="240" w:lineRule="auto"/>
      </w:pPr>
      <w:r>
        <w:separator/>
      </w:r>
    </w:p>
  </w:endnote>
  <w:endnote w:type="continuationSeparator" w:id="0">
    <w:p w14:paraId="4AC97CA6" w14:textId="77777777" w:rsidR="00B2076D" w:rsidRDefault="00B2076D" w:rsidP="00F63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734722"/>
      <w:docPartObj>
        <w:docPartGallery w:val="Page Numbers (Bottom of Page)"/>
        <w:docPartUnique/>
      </w:docPartObj>
    </w:sdtPr>
    <w:sdtEndPr/>
    <w:sdtContent>
      <w:sdt>
        <w:sdtPr>
          <w:id w:val="-1669238322"/>
          <w:docPartObj>
            <w:docPartGallery w:val="Page Numbers (Top of Page)"/>
            <w:docPartUnique/>
          </w:docPartObj>
        </w:sdtPr>
        <w:sdtEndPr/>
        <w:sdtContent>
          <w:p w14:paraId="4AC97CAA" w14:textId="6D6C899C" w:rsidR="00B2076D" w:rsidRDefault="00B207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3EE6">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3EE6">
              <w:rPr>
                <w:b/>
                <w:bCs/>
                <w:noProof/>
              </w:rPr>
              <w:t>9</w:t>
            </w:r>
            <w:r>
              <w:rPr>
                <w:b/>
                <w:bCs/>
                <w:sz w:val="24"/>
                <w:szCs w:val="24"/>
              </w:rPr>
              <w:fldChar w:fldCharType="end"/>
            </w:r>
          </w:p>
        </w:sdtContent>
      </w:sdt>
    </w:sdtContent>
  </w:sdt>
  <w:p w14:paraId="4AC97CAB" w14:textId="77777777" w:rsidR="00B2076D" w:rsidRDefault="00B20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97CA3" w14:textId="77777777" w:rsidR="00B2076D" w:rsidRDefault="00B2076D" w:rsidP="00F63C69">
      <w:pPr>
        <w:spacing w:before="0" w:after="0" w:line="240" w:lineRule="auto"/>
      </w:pPr>
      <w:r>
        <w:separator/>
      </w:r>
    </w:p>
  </w:footnote>
  <w:footnote w:type="continuationSeparator" w:id="0">
    <w:p w14:paraId="4AC97CA4" w14:textId="77777777" w:rsidR="00B2076D" w:rsidRDefault="00B2076D" w:rsidP="00F63C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F196" w14:textId="0F70C7A9" w:rsidR="00B2076D" w:rsidRPr="00CA37B5" w:rsidRDefault="00B2076D" w:rsidP="006F790A">
    <w:pPr>
      <w:pStyle w:val="Header"/>
      <w:rPr>
        <w:rFonts w:ascii="Times New Roman" w:hAnsi="Times New Roman" w:cs="Times New Roman"/>
        <w:sz w:val="56"/>
        <w:szCs w:val="56"/>
      </w:rPr>
    </w:pPr>
    <w:r>
      <w:rPr>
        <w:noProof/>
      </w:rPr>
      <w:drawing>
        <wp:inline distT="0" distB="0" distL="0" distR="0" wp14:anchorId="6DD1D23D" wp14:editId="0B6B3254">
          <wp:extent cx="1304925" cy="92694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15" cy="948747"/>
                  </a:xfrm>
                  <a:prstGeom prst="rect">
                    <a:avLst/>
                  </a:prstGeom>
                  <a:noFill/>
                  <a:ln>
                    <a:noFill/>
                  </a:ln>
                </pic:spPr>
              </pic:pic>
            </a:graphicData>
          </a:graphic>
        </wp:inline>
      </w:drawing>
    </w:r>
    <w:r>
      <w:rPr>
        <w:rFonts w:ascii="Times New Roman" w:hAnsi="Times New Roman" w:cs="Times New Roman"/>
        <w:sz w:val="56"/>
        <w:szCs w:val="56"/>
      </w:rPr>
      <w:tab/>
      <w:t xml:space="preserve">            </w:t>
    </w:r>
    <w:r w:rsidRPr="00F63C69">
      <w:rPr>
        <w:rFonts w:ascii="Times New Roman" w:hAnsi="Times New Roman" w:cs="Times New Roman"/>
        <w:sz w:val="56"/>
        <w:szCs w:val="56"/>
      </w:rPr>
      <w:t>Office of the Registrar</w:t>
    </w:r>
  </w:p>
  <w:p w14:paraId="3150FAEB" w14:textId="3C04A880" w:rsidR="00B2076D" w:rsidRPr="006D171C" w:rsidRDefault="0057072A" w:rsidP="00F63C69">
    <w:pPr>
      <w:pStyle w:val="Header"/>
      <w:rPr>
        <w:rFonts w:ascii="Times New Roman" w:hAnsi="Times New Roman" w:cs="Times New Roman"/>
        <w:b/>
        <w:sz w:val="28"/>
        <w:szCs w:val="28"/>
      </w:rPr>
    </w:pPr>
    <w:r>
      <w:rPr>
        <w:rFonts w:ascii="Times New Roman" w:hAnsi="Times New Roman" w:cs="Times New Roman"/>
        <w:b/>
        <w:sz w:val="28"/>
        <w:szCs w:val="28"/>
      </w:rPr>
      <w:t>Administer Student Exceptions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8F0"/>
    <w:multiLevelType w:val="hybridMultilevel"/>
    <w:tmpl w:val="A8F8D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C1168"/>
    <w:multiLevelType w:val="hybridMultilevel"/>
    <w:tmpl w:val="A7FE3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161B6"/>
    <w:multiLevelType w:val="hybridMultilevel"/>
    <w:tmpl w:val="95F2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A27B2"/>
    <w:multiLevelType w:val="hybridMultilevel"/>
    <w:tmpl w:val="06B23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63DD1"/>
    <w:multiLevelType w:val="hybridMultilevel"/>
    <w:tmpl w:val="6B8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C4E16"/>
    <w:multiLevelType w:val="hybridMultilevel"/>
    <w:tmpl w:val="D95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69"/>
    <w:rsid w:val="00007B30"/>
    <w:rsid w:val="00011F15"/>
    <w:rsid w:val="00040770"/>
    <w:rsid w:val="00110022"/>
    <w:rsid w:val="001A3FED"/>
    <w:rsid w:val="00231AB2"/>
    <w:rsid w:val="002941E8"/>
    <w:rsid w:val="002B1FED"/>
    <w:rsid w:val="0031257E"/>
    <w:rsid w:val="00327BD9"/>
    <w:rsid w:val="003532EA"/>
    <w:rsid w:val="0039117D"/>
    <w:rsid w:val="0039729A"/>
    <w:rsid w:val="00475C90"/>
    <w:rsid w:val="004C108A"/>
    <w:rsid w:val="004E1E64"/>
    <w:rsid w:val="0057072A"/>
    <w:rsid w:val="005C0E50"/>
    <w:rsid w:val="00620B9E"/>
    <w:rsid w:val="00643D44"/>
    <w:rsid w:val="006752E5"/>
    <w:rsid w:val="006D171C"/>
    <w:rsid w:val="006F790A"/>
    <w:rsid w:val="0070272E"/>
    <w:rsid w:val="0071613A"/>
    <w:rsid w:val="00784F9A"/>
    <w:rsid w:val="007B2748"/>
    <w:rsid w:val="007B6869"/>
    <w:rsid w:val="007E7FB6"/>
    <w:rsid w:val="008456C3"/>
    <w:rsid w:val="008B58FF"/>
    <w:rsid w:val="009632DC"/>
    <w:rsid w:val="00981A8F"/>
    <w:rsid w:val="00A5033E"/>
    <w:rsid w:val="00A92AF0"/>
    <w:rsid w:val="00AA32AF"/>
    <w:rsid w:val="00AA776C"/>
    <w:rsid w:val="00B2076D"/>
    <w:rsid w:val="00B20E5B"/>
    <w:rsid w:val="00C75284"/>
    <w:rsid w:val="00CA37B5"/>
    <w:rsid w:val="00CB1231"/>
    <w:rsid w:val="00E53EE6"/>
    <w:rsid w:val="00F305A1"/>
    <w:rsid w:val="00F63C69"/>
    <w:rsid w:val="00F80076"/>
    <w:rsid w:val="00FC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C97C96"/>
  <w15:docId w15:val="{313B25DE-787B-4674-A32F-F2C6484C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69"/>
    <w:rPr>
      <w:sz w:val="20"/>
      <w:szCs w:val="20"/>
    </w:rPr>
  </w:style>
  <w:style w:type="paragraph" w:styleId="Heading1">
    <w:name w:val="heading 1"/>
    <w:basedOn w:val="Normal"/>
    <w:next w:val="Normal"/>
    <w:link w:val="Heading1Char"/>
    <w:uiPriority w:val="9"/>
    <w:qFormat/>
    <w:rsid w:val="00F63C69"/>
    <w:pPr>
      <w:pBdr>
        <w:top w:val="single" w:sz="24" w:space="0" w:color="1F497D" w:themeColor="accent1"/>
        <w:left w:val="single" w:sz="24" w:space="0" w:color="1F497D" w:themeColor="accent1"/>
        <w:bottom w:val="single" w:sz="24" w:space="0" w:color="1F497D" w:themeColor="accent1"/>
        <w:right w:val="single" w:sz="24" w:space="0" w:color="1F497D" w:themeColor="accent1"/>
      </w:pBdr>
      <w:shd w:val="clear" w:color="auto" w:fill="1F497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63C69"/>
    <w:pPr>
      <w:pBdr>
        <w:top w:val="single" w:sz="24" w:space="0" w:color="C6D9F1" w:themeColor="accent1" w:themeTint="33"/>
        <w:left w:val="single" w:sz="24" w:space="0" w:color="C6D9F1" w:themeColor="accent1" w:themeTint="33"/>
        <w:bottom w:val="single" w:sz="24" w:space="0" w:color="C6D9F1" w:themeColor="accent1" w:themeTint="33"/>
        <w:right w:val="single" w:sz="24" w:space="0" w:color="C6D9F1" w:themeColor="accent1" w:themeTint="33"/>
      </w:pBdr>
      <w:shd w:val="clear" w:color="auto" w:fill="C6D9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63C69"/>
    <w:pPr>
      <w:pBdr>
        <w:top w:val="single" w:sz="6" w:space="2" w:color="1F497D" w:themeColor="accent1"/>
        <w:left w:val="single" w:sz="6" w:space="2" w:color="1F497D" w:themeColor="accent1"/>
      </w:pBdr>
      <w:spacing w:before="300" w:after="0"/>
      <w:outlineLvl w:val="2"/>
    </w:pPr>
    <w:rPr>
      <w:caps/>
      <w:color w:val="0F243E" w:themeColor="accent1" w:themeShade="7F"/>
      <w:spacing w:val="15"/>
      <w:sz w:val="22"/>
      <w:szCs w:val="22"/>
    </w:rPr>
  </w:style>
  <w:style w:type="paragraph" w:styleId="Heading4">
    <w:name w:val="heading 4"/>
    <w:basedOn w:val="Normal"/>
    <w:next w:val="Normal"/>
    <w:link w:val="Heading4Char"/>
    <w:uiPriority w:val="9"/>
    <w:semiHidden/>
    <w:unhideWhenUsed/>
    <w:qFormat/>
    <w:rsid w:val="00F63C69"/>
    <w:pPr>
      <w:pBdr>
        <w:top w:val="dotted" w:sz="6" w:space="2" w:color="1F497D" w:themeColor="accent1"/>
        <w:left w:val="dotted" w:sz="6" w:space="2" w:color="1F497D" w:themeColor="accent1"/>
      </w:pBdr>
      <w:spacing w:before="300" w:after="0"/>
      <w:outlineLvl w:val="3"/>
    </w:pPr>
    <w:rPr>
      <w:caps/>
      <w:color w:val="17365D" w:themeColor="accent1" w:themeShade="BF"/>
      <w:spacing w:val="10"/>
      <w:sz w:val="22"/>
      <w:szCs w:val="22"/>
    </w:rPr>
  </w:style>
  <w:style w:type="paragraph" w:styleId="Heading5">
    <w:name w:val="heading 5"/>
    <w:basedOn w:val="Normal"/>
    <w:next w:val="Normal"/>
    <w:link w:val="Heading5Char"/>
    <w:uiPriority w:val="9"/>
    <w:semiHidden/>
    <w:unhideWhenUsed/>
    <w:qFormat/>
    <w:rsid w:val="00F63C69"/>
    <w:pPr>
      <w:pBdr>
        <w:bottom w:val="single" w:sz="6" w:space="1" w:color="1F497D" w:themeColor="accent1"/>
      </w:pBdr>
      <w:spacing w:before="300" w:after="0"/>
      <w:outlineLvl w:val="4"/>
    </w:pPr>
    <w:rPr>
      <w:caps/>
      <w:color w:val="17365D" w:themeColor="accent1" w:themeShade="BF"/>
      <w:spacing w:val="10"/>
      <w:sz w:val="22"/>
      <w:szCs w:val="22"/>
    </w:rPr>
  </w:style>
  <w:style w:type="paragraph" w:styleId="Heading6">
    <w:name w:val="heading 6"/>
    <w:basedOn w:val="Normal"/>
    <w:next w:val="Normal"/>
    <w:link w:val="Heading6Char"/>
    <w:uiPriority w:val="9"/>
    <w:semiHidden/>
    <w:unhideWhenUsed/>
    <w:qFormat/>
    <w:rsid w:val="00F63C69"/>
    <w:pPr>
      <w:pBdr>
        <w:bottom w:val="dotted" w:sz="6" w:space="1" w:color="1F497D" w:themeColor="accent1"/>
      </w:pBdr>
      <w:spacing w:before="300" w:after="0"/>
      <w:outlineLvl w:val="5"/>
    </w:pPr>
    <w:rPr>
      <w:caps/>
      <w:color w:val="17365D" w:themeColor="accent1" w:themeShade="BF"/>
      <w:spacing w:val="10"/>
      <w:sz w:val="22"/>
      <w:szCs w:val="22"/>
    </w:rPr>
  </w:style>
  <w:style w:type="paragraph" w:styleId="Heading7">
    <w:name w:val="heading 7"/>
    <w:basedOn w:val="Normal"/>
    <w:next w:val="Normal"/>
    <w:link w:val="Heading7Char"/>
    <w:uiPriority w:val="9"/>
    <w:semiHidden/>
    <w:unhideWhenUsed/>
    <w:qFormat/>
    <w:rsid w:val="00F63C69"/>
    <w:pPr>
      <w:spacing w:before="300" w:after="0"/>
      <w:outlineLvl w:val="6"/>
    </w:pPr>
    <w:rPr>
      <w:caps/>
      <w:color w:val="17365D" w:themeColor="accent1" w:themeShade="BF"/>
      <w:spacing w:val="10"/>
      <w:sz w:val="22"/>
      <w:szCs w:val="22"/>
    </w:rPr>
  </w:style>
  <w:style w:type="paragraph" w:styleId="Heading8">
    <w:name w:val="heading 8"/>
    <w:basedOn w:val="Normal"/>
    <w:next w:val="Normal"/>
    <w:link w:val="Heading8Char"/>
    <w:uiPriority w:val="9"/>
    <w:semiHidden/>
    <w:unhideWhenUsed/>
    <w:qFormat/>
    <w:rsid w:val="00F63C6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63C6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69"/>
  </w:style>
  <w:style w:type="paragraph" w:styleId="Footer">
    <w:name w:val="footer"/>
    <w:basedOn w:val="Normal"/>
    <w:link w:val="FooterChar"/>
    <w:uiPriority w:val="99"/>
    <w:unhideWhenUsed/>
    <w:rsid w:val="00F63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69"/>
  </w:style>
  <w:style w:type="paragraph" w:styleId="BalloonText">
    <w:name w:val="Balloon Text"/>
    <w:basedOn w:val="Normal"/>
    <w:link w:val="BalloonTextChar"/>
    <w:uiPriority w:val="99"/>
    <w:semiHidden/>
    <w:unhideWhenUsed/>
    <w:rsid w:val="00F6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69"/>
    <w:rPr>
      <w:rFonts w:ascii="Tahoma" w:hAnsi="Tahoma" w:cs="Tahoma"/>
      <w:sz w:val="16"/>
      <w:szCs w:val="16"/>
    </w:rPr>
  </w:style>
  <w:style w:type="character" w:customStyle="1" w:styleId="Heading1Char">
    <w:name w:val="Heading 1 Char"/>
    <w:basedOn w:val="DefaultParagraphFont"/>
    <w:link w:val="Heading1"/>
    <w:uiPriority w:val="9"/>
    <w:rsid w:val="00F63C69"/>
    <w:rPr>
      <w:b/>
      <w:bCs/>
      <w:caps/>
      <w:color w:val="FFFFFF" w:themeColor="background1"/>
      <w:spacing w:val="15"/>
      <w:shd w:val="clear" w:color="auto" w:fill="1F497D" w:themeFill="accent1"/>
    </w:rPr>
  </w:style>
  <w:style w:type="character" w:customStyle="1" w:styleId="Heading2Char">
    <w:name w:val="Heading 2 Char"/>
    <w:basedOn w:val="DefaultParagraphFont"/>
    <w:link w:val="Heading2"/>
    <w:uiPriority w:val="9"/>
    <w:rsid w:val="00F63C69"/>
    <w:rPr>
      <w:caps/>
      <w:spacing w:val="15"/>
      <w:shd w:val="clear" w:color="auto" w:fill="C6D9F1" w:themeFill="accent1" w:themeFillTint="33"/>
    </w:rPr>
  </w:style>
  <w:style w:type="character" w:customStyle="1" w:styleId="Heading3Char">
    <w:name w:val="Heading 3 Char"/>
    <w:basedOn w:val="DefaultParagraphFont"/>
    <w:link w:val="Heading3"/>
    <w:uiPriority w:val="9"/>
    <w:semiHidden/>
    <w:rsid w:val="00F63C69"/>
    <w:rPr>
      <w:caps/>
      <w:color w:val="0F243E" w:themeColor="accent1" w:themeShade="7F"/>
      <w:spacing w:val="15"/>
    </w:rPr>
  </w:style>
  <w:style w:type="character" w:customStyle="1" w:styleId="Heading4Char">
    <w:name w:val="Heading 4 Char"/>
    <w:basedOn w:val="DefaultParagraphFont"/>
    <w:link w:val="Heading4"/>
    <w:uiPriority w:val="9"/>
    <w:semiHidden/>
    <w:rsid w:val="00F63C69"/>
    <w:rPr>
      <w:caps/>
      <w:color w:val="17365D" w:themeColor="accent1" w:themeShade="BF"/>
      <w:spacing w:val="10"/>
    </w:rPr>
  </w:style>
  <w:style w:type="character" w:customStyle="1" w:styleId="Heading5Char">
    <w:name w:val="Heading 5 Char"/>
    <w:basedOn w:val="DefaultParagraphFont"/>
    <w:link w:val="Heading5"/>
    <w:uiPriority w:val="9"/>
    <w:semiHidden/>
    <w:rsid w:val="00F63C69"/>
    <w:rPr>
      <w:caps/>
      <w:color w:val="17365D" w:themeColor="accent1" w:themeShade="BF"/>
      <w:spacing w:val="10"/>
    </w:rPr>
  </w:style>
  <w:style w:type="character" w:customStyle="1" w:styleId="Heading6Char">
    <w:name w:val="Heading 6 Char"/>
    <w:basedOn w:val="DefaultParagraphFont"/>
    <w:link w:val="Heading6"/>
    <w:uiPriority w:val="9"/>
    <w:semiHidden/>
    <w:rsid w:val="00F63C69"/>
    <w:rPr>
      <w:caps/>
      <w:color w:val="17365D" w:themeColor="accent1" w:themeShade="BF"/>
      <w:spacing w:val="10"/>
    </w:rPr>
  </w:style>
  <w:style w:type="character" w:customStyle="1" w:styleId="Heading7Char">
    <w:name w:val="Heading 7 Char"/>
    <w:basedOn w:val="DefaultParagraphFont"/>
    <w:link w:val="Heading7"/>
    <w:uiPriority w:val="9"/>
    <w:semiHidden/>
    <w:rsid w:val="00F63C69"/>
    <w:rPr>
      <w:caps/>
      <w:color w:val="17365D" w:themeColor="accent1" w:themeShade="BF"/>
      <w:spacing w:val="10"/>
    </w:rPr>
  </w:style>
  <w:style w:type="character" w:customStyle="1" w:styleId="Heading8Char">
    <w:name w:val="Heading 8 Char"/>
    <w:basedOn w:val="DefaultParagraphFont"/>
    <w:link w:val="Heading8"/>
    <w:uiPriority w:val="9"/>
    <w:semiHidden/>
    <w:rsid w:val="00F63C69"/>
    <w:rPr>
      <w:caps/>
      <w:spacing w:val="10"/>
      <w:sz w:val="18"/>
      <w:szCs w:val="18"/>
    </w:rPr>
  </w:style>
  <w:style w:type="character" w:customStyle="1" w:styleId="Heading9Char">
    <w:name w:val="Heading 9 Char"/>
    <w:basedOn w:val="DefaultParagraphFont"/>
    <w:link w:val="Heading9"/>
    <w:uiPriority w:val="9"/>
    <w:semiHidden/>
    <w:rsid w:val="00F63C69"/>
    <w:rPr>
      <w:i/>
      <w:caps/>
      <w:spacing w:val="10"/>
      <w:sz w:val="18"/>
      <w:szCs w:val="18"/>
    </w:rPr>
  </w:style>
  <w:style w:type="paragraph" w:styleId="Caption">
    <w:name w:val="caption"/>
    <w:basedOn w:val="Normal"/>
    <w:next w:val="Normal"/>
    <w:uiPriority w:val="35"/>
    <w:semiHidden/>
    <w:unhideWhenUsed/>
    <w:qFormat/>
    <w:rsid w:val="00F63C69"/>
    <w:rPr>
      <w:b/>
      <w:bCs/>
      <w:color w:val="17365D" w:themeColor="accent1" w:themeShade="BF"/>
      <w:sz w:val="16"/>
      <w:szCs w:val="16"/>
    </w:rPr>
  </w:style>
  <w:style w:type="paragraph" w:styleId="Title">
    <w:name w:val="Title"/>
    <w:basedOn w:val="Normal"/>
    <w:next w:val="Normal"/>
    <w:link w:val="TitleChar"/>
    <w:uiPriority w:val="10"/>
    <w:qFormat/>
    <w:rsid w:val="00F63C69"/>
    <w:pPr>
      <w:spacing w:before="720"/>
    </w:pPr>
    <w:rPr>
      <w:caps/>
      <w:color w:val="1F497D" w:themeColor="accent1"/>
      <w:spacing w:val="10"/>
      <w:kern w:val="28"/>
      <w:sz w:val="52"/>
      <w:szCs w:val="52"/>
    </w:rPr>
  </w:style>
  <w:style w:type="character" w:customStyle="1" w:styleId="TitleChar">
    <w:name w:val="Title Char"/>
    <w:basedOn w:val="DefaultParagraphFont"/>
    <w:link w:val="Title"/>
    <w:uiPriority w:val="10"/>
    <w:rsid w:val="00F63C69"/>
    <w:rPr>
      <w:caps/>
      <w:color w:val="1F497D" w:themeColor="accent1"/>
      <w:spacing w:val="10"/>
      <w:kern w:val="28"/>
      <w:sz w:val="52"/>
      <w:szCs w:val="52"/>
    </w:rPr>
  </w:style>
  <w:style w:type="paragraph" w:styleId="Subtitle">
    <w:name w:val="Subtitle"/>
    <w:basedOn w:val="Normal"/>
    <w:next w:val="Normal"/>
    <w:link w:val="SubtitleChar"/>
    <w:uiPriority w:val="11"/>
    <w:qFormat/>
    <w:rsid w:val="00F63C6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63C69"/>
    <w:rPr>
      <w:caps/>
      <w:color w:val="595959" w:themeColor="text1" w:themeTint="A6"/>
      <w:spacing w:val="10"/>
      <w:sz w:val="24"/>
      <w:szCs w:val="24"/>
    </w:rPr>
  </w:style>
  <w:style w:type="character" w:styleId="Strong">
    <w:name w:val="Strong"/>
    <w:uiPriority w:val="22"/>
    <w:qFormat/>
    <w:rsid w:val="00F63C69"/>
    <w:rPr>
      <w:b/>
      <w:bCs/>
    </w:rPr>
  </w:style>
  <w:style w:type="character" w:styleId="Emphasis">
    <w:name w:val="Emphasis"/>
    <w:uiPriority w:val="20"/>
    <w:qFormat/>
    <w:rsid w:val="00F63C69"/>
    <w:rPr>
      <w:caps/>
      <w:color w:val="0F243E" w:themeColor="accent1" w:themeShade="7F"/>
      <w:spacing w:val="5"/>
    </w:rPr>
  </w:style>
  <w:style w:type="paragraph" w:styleId="NoSpacing">
    <w:name w:val="No Spacing"/>
    <w:basedOn w:val="Normal"/>
    <w:link w:val="NoSpacingChar"/>
    <w:uiPriority w:val="1"/>
    <w:qFormat/>
    <w:rsid w:val="00F63C69"/>
    <w:pPr>
      <w:spacing w:before="0" w:after="0" w:line="240" w:lineRule="auto"/>
    </w:pPr>
  </w:style>
  <w:style w:type="character" w:customStyle="1" w:styleId="NoSpacingChar">
    <w:name w:val="No Spacing Char"/>
    <w:basedOn w:val="DefaultParagraphFont"/>
    <w:link w:val="NoSpacing"/>
    <w:uiPriority w:val="1"/>
    <w:rsid w:val="00F63C69"/>
    <w:rPr>
      <w:sz w:val="20"/>
      <w:szCs w:val="20"/>
    </w:rPr>
  </w:style>
  <w:style w:type="paragraph" w:styleId="ListParagraph">
    <w:name w:val="List Paragraph"/>
    <w:basedOn w:val="Normal"/>
    <w:uiPriority w:val="34"/>
    <w:qFormat/>
    <w:rsid w:val="00F63C69"/>
    <w:pPr>
      <w:ind w:left="720"/>
      <w:contextualSpacing/>
    </w:pPr>
  </w:style>
  <w:style w:type="paragraph" w:styleId="Quote">
    <w:name w:val="Quote"/>
    <w:basedOn w:val="Normal"/>
    <w:next w:val="Normal"/>
    <w:link w:val="QuoteChar"/>
    <w:uiPriority w:val="29"/>
    <w:qFormat/>
    <w:rsid w:val="00F63C69"/>
    <w:rPr>
      <w:i/>
      <w:iCs/>
    </w:rPr>
  </w:style>
  <w:style w:type="character" w:customStyle="1" w:styleId="QuoteChar">
    <w:name w:val="Quote Char"/>
    <w:basedOn w:val="DefaultParagraphFont"/>
    <w:link w:val="Quote"/>
    <w:uiPriority w:val="29"/>
    <w:rsid w:val="00F63C69"/>
    <w:rPr>
      <w:i/>
      <w:iCs/>
      <w:sz w:val="20"/>
      <w:szCs w:val="20"/>
    </w:rPr>
  </w:style>
  <w:style w:type="paragraph" w:styleId="IntenseQuote">
    <w:name w:val="Intense Quote"/>
    <w:basedOn w:val="Normal"/>
    <w:next w:val="Normal"/>
    <w:link w:val="IntenseQuoteChar"/>
    <w:uiPriority w:val="30"/>
    <w:qFormat/>
    <w:rsid w:val="00F63C69"/>
    <w:pPr>
      <w:pBdr>
        <w:top w:val="single" w:sz="4" w:space="10" w:color="1F497D" w:themeColor="accent1"/>
        <w:left w:val="single" w:sz="4" w:space="10" w:color="1F497D" w:themeColor="accent1"/>
      </w:pBdr>
      <w:spacing w:after="0"/>
      <w:ind w:left="1296" w:right="1152"/>
      <w:jc w:val="both"/>
    </w:pPr>
    <w:rPr>
      <w:i/>
      <w:iCs/>
      <w:color w:val="1F497D" w:themeColor="accent1"/>
    </w:rPr>
  </w:style>
  <w:style w:type="character" w:customStyle="1" w:styleId="IntenseQuoteChar">
    <w:name w:val="Intense Quote Char"/>
    <w:basedOn w:val="DefaultParagraphFont"/>
    <w:link w:val="IntenseQuote"/>
    <w:uiPriority w:val="30"/>
    <w:rsid w:val="00F63C69"/>
    <w:rPr>
      <w:i/>
      <w:iCs/>
      <w:color w:val="1F497D" w:themeColor="accent1"/>
      <w:sz w:val="20"/>
      <w:szCs w:val="20"/>
    </w:rPr>
  </w:style>
  <w:style w:type="character" w:styleId="SubtleEmphasis">
    <w:name w:val="Subtle Emphasis"/>
    <w:uiPriority w:val="19"/>
    <w:qFormat/>
    <w:rsid w:val="00F63C69"/>
    <w:rPr>
      <w:i/>
      <w:iCs/>
      <w:color w:val="0F243E" w:themeColor="accent1" w:themeShade="7F"/>
    </w:rPr>
  </w:style>
  <w:style w:type="character" w:styleId="IntenseEmphasis">
    <w:name w:val="Intense Emphasis"/>
    <w:uiPriority w:val="21"/>
    <w:qFormat/>
    <w:rsid w:val="00F63C69"/>
    <w:rPr>
      <w:b/>
      <w:bCs/>
      <w:caps/>
      <w:color w:val="0F243E" w:themeColor="accent1" w:themeShade="7F"/>
      <w:spacing w:val="10"/>
    </w:rPr>
  </w:style>
  <w:style w:type="character" w:styleId="SubtleReference">
    <w:name w:val="Subtle Reference"/>
    <w:uiPriority w:val="31"/>
    <w:qFormat/>
    <w:rsid w:val="00F63C69"/>
    <w:rPr>
      <w:b/>
      <w:bCs/>
      <w:color w:val="1F497D" w:themeColor="accent1"/>
    </w:rPr>
  </w:style>
  <w:style w:type="character" w:styleId="IntenseReference">
    <w:name w:val="Intense Reference"/>
    <w:uiPriority w:val="32"/>
    <w:qFormat/>
    <w:rsid w:val="00F63C69"/>
    <w:rPr>
      <w:b/>
      <w:bCs/>
      <w:i/>
      <w:iCs/>
      <w:caps/>
      <w:color w:val="1F497D" w:themeColor="accent1"/>
    </w:rPr>
  </w:style>
  <w:style w:type="character" w:styleId="BookTitle">
    <w:name w:val="Book Title"/>
    <w:uiPriority w:val="33"/>
    <w:qFormat/>
    <w:rsid w:val="00F63C69"/>
    <w:rPr>
      <w:b/>
      <w:bCs/>
      <w:i/>
      <w:iCs/>
      <w:spacing w:val="9"/>
    </w:rPr>
  </w:style>
  <w:style w:type="paragraph" w:styleId="TOCHeading">
    <w:name w:val="TOC Heading"/>
    <w:basedOn w:val="Heading1"/>
    <w:next w:val="Normal"/>
    <w:uiPriority w:val="39"/>
    <w:semiHidden/>
    <w:unhideWhenUsed/>
    <w:qFormat/>
    <w:rsid w:val="00F63C69"/>
    <w:pPr>
      <w:outlineLvl w:val="9"/>
    </w:pPr>
    <w:rPr>
      <w:lang w:bidi="en-US"/>
    </w:rPr>
  </w:style>
  <w:style w:type="paragraph" w:styleId="TOC1">
    <w:name w:val="toc 1"/>
    <w:basedOn w:val="Normal"/>
    <w:next w:val="Normal"/>
    <w:autoRedefine/>
    <w:uiPriority w:val="39"/>
    <w:unhideWhenUsed/>
    <w:rsid w:val="00FC6CC2"/>
    <w:pPr>
      <w:spacing w:after="100"/>
    </w:pPr>
  </w:style>
  <w:style w:type="character" w:styleId="Hyperlink">
    <w:name w:val="Hyperlink"/>
    <w:basedOn w:val="DefaultParagraphFont"/>
    <w:uiPriority w:val="99"/>
    <w:unhideWhenUsed/>
    <w:rsid w:val="00FC6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0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Registrar.AdvisementReport@nau.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1F497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21DEDB591BC84188F741CA7CB237C1" ma:contentTypeVersion="14" ma:contentTypeDescription="Create a new document." ma:contentTypeScope="" ma:versionID="d21126d11b6db4c81d16a4a0e2603b7d">
  <xsd:schema xmlns:xsd="http://www.w3.org/2001/XMLSchema" xmlns:xs="http://www.w3.org/2001/XMLSchema" xmlns:p="http://schemas.microsoft.com/office/2006/metadata/properties" xmlns:ns1="http://schemas.microsoft.com/sharepoint/v3" xmlns:ns2="5d240c0d-03dd-4203-929e-8ee8c778ece8" xmlns:ns3="b42befb0-4f13-44fb-95b4-95e220167333" xmlns:ns4="http://schemas.microsoft.com/sharepoint/v4" targetNamespace="http://schemas.microsoft.com/office/2006/metadata/properties" ma:root="true" ma:fieldsID="1001afba9a53d2b7d34d3faf25b53c04" ns1:_="" ns2:_="" ns3:_="" ns4:_="">
    <xsd:import namespace="http://schemas.microsoft.com/sharepoint/v3"/>
    <xsd:import namespace="5d240c0d-03dd-4203-929e-8ee8c778ece8"/>
    <xsd:import namespace="b42befb0-4f13-44fb-95b4-95e22016733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df194cb219b34aa887159a4dd4e040af" minOccurs="0"/>
                <xsd:element ref="ns2:TaxCatchAll" minOccurs="0"/>
                <xsd:element ref="ns3:Description0" minOccurs="0"/>
                <xsd:element ref="ns3:Document_x0020_Controller" minOccurs="0"/>
                <xsd:element ref="ns3:Author0" minOccurs="0"/>
                <xsd:element ref="ns3:Status" minOccurs="0"/>
                <xsd:element ref="ns4:IconOverlay"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240c0d-03dd-4203-929e-8ee8c778e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cd8490d-9c50-44c7-860f-bc5dc18d0123}" ma:internalName="TaxCatchAll" ma:showField="CatchAllData" ma:web="5d240c0d-03dd-4203-929e-8ee8c778ec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2befb0-4f13-44fb-95b4-95e220167333" elementFormDefault="qualified">
    <xsd:import namespace="http://schemas.microsoft.com/office/2006/documentManagement/types"/>
    <xsd:import namespace="http://schemas.microsoft.com/office/infopath/2007/PartnerControls"/>
    <xsd:element name="df194cb219b34aa887159a4dd4e040af" ma:index="14" nillable="true" ma:taxonomy="true" ma:internalName="df194cb219b34aa887159a4dd4e040af" ma:taxonomyFieldName="Category" ma:displayName="Category" ma:default="" ma:fieldId="{df194cb2-19b3-4aa8-8715-9a4dd4e040af}" ma:taxonomyMulti="true" ma:sspId="fae458b9-9547-493a-8517-783d549bacc1" ma:termSetId="f6be1ccd-07df-4b84-8eb2-d3664b543067" ma:anchorId="00000000-0000-0000-0000-000000000000" ma:open="false" ma:isKeyword="false">
      <xsd:complexType>
        <xsd:sequence>
          <xsd:element ref="pc:Terms" minOccurs="0" maxOccurs="1"/>
        </xsd:sequence>
      </xsd:complexType>
    </xsd:element>
    <xsd:element name="Description0" ma:index="16" nillable="true" ma:displayName="Description" ma:internalName="Description0">
      <xsd:simpleType>
        <xsd:restriction base="dms:Note">
          <xsd:maxLength value="255"/>
        </xsd:restriction>
      </xsd:simpleType>
    </xsd:element>
    <xsd:element name="Document_x0020_Controller" ma:index="17" nillable="true" ma:displayName="Document Controller" ma:format="Dropdown" ma:internalName="Document_x0020_Controller">
      <xsd:simpleType>
        <xsd:restriction base="dms:Choice">
          <xsd:enumeration value="FA - Financial Aid"/>
          <xsd:enumeration value="CC - Campus Community"/>
          <xsd:enumeration value="HR - Human Resources"/>
          <xsd:enumeration value="SF - Student Financials"/>
          <xsd:enumeration value="SR - Registrar's Office"/>
        </xsd:restriction>
      </xsd:simpleType>
    </xsd:element>
    <xsd:element name="Author0" ma:index="18" nillable="true" ma:displayName="Author" ma:description="NAU Author of document : Who is responsible for content of document" ma:list="UserInfo" ma:SearchPeopleOnly="false"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9" nillable="true" ma:displayName="Status" ma:description="Document Status" ma:format="Dropdown" ma:internalName="Status">
      <xsd:simpleType>
        <xsd:restriction base="dms:Choice">
          <xsd:enumeration value="Archive"/>
          <xsd:enumeration value="Publish"/>
          <xsd:enumeration value="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Controller xmlns="b42befb0-4f13-44fb-95b4-95e220167333">SR - Registrar's Office</Document_x0020_Controller>
    <df194cb219b34aa887159a4dd4e040af xmlns="b42befb0-4f13-44fb-95b4-95e220167333">
      <Terms xmlns="http://schemas.microsoft.com/office/infopath/2007/PartnerControls">
        <TermInfo xmlns="http://schemas.microsoft.com/office/infopath/2007/PartnerControls">
          <TermName xmlns="http://schemas.microsoft.com/office/infopath/2007/PartnerControls">SR</TermName>
          <TermId xmlns="http://schemas.microsoft.com/office/infopath/2007/PartnerControls">bf75e7ec-499e-4d4e-9d8c-92fe2cbaa995</TermId>
        </TermInfo>
      </Terms>
    </df194cb219b34aa887159a4dd4e040af>
    <Description0 xmlns="b42befb0-4f13-44fb-95b4-95e220167333">This is the Regstrar's Office documentation Template.  Please apply this template to all documentation written in Word</Description0>
    <TaxCatchAll xmlns="5d240c0d-03dd-4203-929e-8ee8c778ece8">
      <Value>8</Value>
    </TaxCatchAll>
    <_dlc_DocId xmlns="5d240c0d-03dd-4203-929e-8ee8c778ece8">XJ4ME7SMSVNR-2-83</_dlc_DocId>
    <_dlc_DocIdUrl xmlns="5d240c0d-03dd-4203-929e-8ee8c778ece8">
      <Url>https://sharepoint.nau.edu/sites/psdocs/_layouts/DocIdRedir.aspx?ID=XJ4ME7SMSVNR-2-83</Url>
      <Description>XJ4ME7SMSVNR-2-83</Description>
    </_dlc_DocIdUrl>
    <AverageRating xmlns="http://schemas.microsoft.com/sharepoint/v3" xsi:nil="true"/>
    <Status xmlns="b42befb0-4f13-44fb-95b4-95e220167333">Review</Status>
    <Author0 xmlns="b42befb0-4f13-44fb-95b4-95e220167333">
      <UserInfo>
        <DisplayName/>
        <AccountId xsi:nil="true"/>
        <AccountType/>
      </UserInfo>
    </Author0>
    <IconOverlay xmlns="http://schemas.microsoft.com/sharepoint/v4"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A2000-584E-4C45-8C3E-26422D743EA6}">
  <ds:schemaRefs>
    <ds:schemaRef ds:uri="http://schemas.microsoft.com/sharepoint/v3/contenttype/forms"/>
  </ds:schemaRefs>
</ds:datastoreItem>
</file>

<file path=customXml/itemProps2.xml><?xml version="1.0" encoding="utf-8"?>
<ds:datastoreItem xmlns:ds="http://schemas.openxmlformats.org/officeDocument/2006/customXml" ds:itemID="{7049DF71-5BF1-447C-AFD7-A868AFEE9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240c0d-03dd-4203-929e-8ee8c778ece8"/>
    <ds:schemaRef ds:uri="b42befb0-4f13-44fb-95b4-95e2201673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24101-AC11-4513-8D07-E332A1EBEE7A}">
  <ds:schemaRefs>
    <ds:schemaRef ds:uri="http://schemas.microsoft.com/sharepoint/events"/>
  </ds:schemaRefs>
</ds:datastoreItem>
</file>

<file path=customXml/itemProps4.xml><?xml version="1.0" encoding="utf-8"?>
<ds:datastoreItem xmlns:ds="http://schemas.openxmlformats.org/officeDocument/2006/customXml" ds:itemID="{F5347F36-9742-4F2C-9434-DB6AA855CE88}">
  <ds:schemaRefs>
    <ds:schemaRef ds:uri="http://purl.org/dc/elements/1.1/"/>
    <ds:schemaRef ds:uri="http://www.w3.org/XML/1998/namespace"/>
    <ds:schemaRef ds:uri="http://schemas.microsoft.com/office/infopath/2007/PartnerControls"/>
    <ds:schemaRef ds:uri="http://schemas.microsoft.com/office/2006/documentManagement/types"/>
    <ds:schemaRef ds:uri="5d240c0d-03dd-4203-929e-8ee8c778ece8"/>
    <ds:schemaRef ds:uri="http://schemas.microsoft.com/office/2006/metadata/properties"/>
    <ds:schemaRef ds:uri="http://purl.org/dc/dcmitype/"/>
    <ds:schemaRef ds:uri="http://schemas.openxmlformats.org/package/2006/metadata/core-properties"/>
    <ds:schemaRef ds:uri="http://purl.org/dc/terms/"/>
    <ds:schemaRef ds:uri="http://schemas.microsoft.com/sharepoint/v4"/>
    <ds:schemaRef ds:uri="b42befb0-4f13-44fb-95b4-95e220167333"/>
    <ds:schemaRef ds:uri="http://schemas.microsoft.com/sharepoint/v3"/>
  </ds:schemaRefs>
</ds:datastoreItem>
</file>

<file path=customXml/itemProps5.xml><?xml version="1.0" encoding="utf-8"?>
<ds:datastoreItem xmlns:ds="http://schemas.openxmlformats.org/officeDocument/2006/customXml" ds:itemID="{4BB00A66-6665-4CB0-916F-9C4BB44D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Documentation Template</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Template</dc:title>
  <dc:creator>Dudley Bacon;tag9</dc:creator>
  <cp:lastModifiedBy>Kinsey A Cook</cp:lastModifiedBy>
  <cp:revision>8</cp:revision>
  <dcterms:created xsi:type="dcterms:W3CDTF">2021-02-03T21:39:00Z</dcterms:created>
  <dcterms:modified xsi:type="dcterms:W3CDTF">2021-02-04T20:13:00Z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0x0101009421DEDB591BC84188F741CA7CB237C1</vt:lpwstr>
  </property>
  <property fmtid="{D5CDD505-2E9C-101B-9397-08002B2CF9AE}" pid="3" name="_dlc_DocIdItemGuid">
    <vt:lpwstr>ec87e08e-4b46-42af-988b-cd55635801fe</vt:lpwstr>
  </property>
  <property fmtid="{D5CDD505-2E9C-101B-9397-08002B2CF9AE}" pid="4" name="Category">
    <vt:lpwstr>8;#SR|bf75e7ec-499e-4d4e-9d8c-92fe2cbaa995</vt:lpwstr>
  </property>
  <property fmtid="{D5CDD505-2E9C-101B-9397-08002B2CF9AE}" pid="5" name="Order">
    <vt:r8>8300</vt:r8>
  </property>
</Properties>
</file>