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A0" w:rsidRPr="000F21A0" w:rsidRDefault="000F21A0" w:rsidP="000F21A0">
      <w:pPr>
        <w:pStyle w:val="NormalWeb"/>
        <w:spacing w:after="80" w:afterAutospacing="0"/>
        <w:ind w:left="-90"/>
      </w:pPr>
      <w:r w:rsidRPr="00444426">
        <w:rPr>
          <w:rStyle w:val="Strong"/>
          <w:rFonts w:ascii="Tw Cen MT" w:hAnsi="Tw Cen MT"/>
          <w:sz w:val="32"/>
        </w:rPr>
        <w:t xml:space="preserve">Course Lines </w:t>
      </w:r>
      <w:r w:rsidRPr="00444426">
        <w:rPr>
          <w:rStyle w:val="Strong"/>
          <w:rFonts w:ascii="Tw Cen MT" w:hAnsi="Tw Cen MT"/>
          <w:b w:val="0"/>
          <w:sz w:val="20"/>
        </w:rPr>
        <w:t>(update</w:t>
      </w:r>
      <w:r>
        <w:rPr>
          <w:rStyle w:val="Strong"/>
          <w:rFonts w:ascii="Tw Cen MT" w:hAnsi="Tw Cen MT"/>
          <w:b w:val="0"/>
          <w:sz w:val="20"/>
        </w:rPr>
        <w:t>d list as of</w:t>
      </w:r>
      <w:r w:rsidRPr="00444426">
        <w:rPr>
          <w:rStyle w:val="Strong"/>
          <w:rFonts w:ascii="Tw Cen MT" w:hAnsi="Tw Cen MT"/>
          <w:b w:val="0"/>
          <w:sz w:val="20"/>
        </w:rPr>
        <w:t xml:space="preserve"> 2015</w:t>
      </w:r>
      <w:r w:rsidRPr="00444426">
        <w:rPr>
          <w:rStyle w:val="Strong"/>
          <w:rFonts w:ascii="Tw Cen MT" w:hAnsi="Tw Cen MT"/>
          <w:sz w:val="20"/>
        </w:rPr>
        <w:t xml:space="preserve">)                  </w:t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>
        <w:rPr>
          <w:rStyle w:val="Strong"/>
          <w:rFonts w:ascii="Tw Cen MT" w:hAnsi="Tw Cen MT"/>
          <w:sz w:val="20"/>
        </w:rPr>
        <w:tab/>
      </w:r>
      <w:r w:rsidR="00AF0983">
        <w:rPr>
          <w:rStyle w:val="Strong"/>
          <w:rFonts w:ascii="Tw Cen MT" w:hAnsi="Tw Cen MT"/>
          <w:sz w:val="28"/>
        </w:rPr>
        <w:t>2/7/2020</w:t>
      </w:r>
    </w:p>
    <w:p w:rsidR="000F21A0" w:rsidRDefault="000F21A0" w:rsidP="000F21A0">
      <w:pPr>
        <w:pStyle w:val="NormalWeb"/>
        <w:tabs>
          <w:tab w:val="left" w:pos="5593"/>
        </w:tabs>
        <w:spacing w:before="80" w:beforeAutospacing="0" w:after="140" w:afterAutospacing="0"/>
        <w:ind w:left="-72"/>
        <w:rPr>
          <w:rFonts w:ascii="Tw Cen MT" w:hAnsi="Tw Cen MT"/>
          <w:sz w:val="22"/>
        </w:rPr>
      </w:pPr>
      <w:r w:rsidRPr="000F21A0">
        <w:rPr>
          <w:rFonts w:ascii="Tw Cen MT" w:hAnsi="Tw Cen MT"/>
          <w:sz w:val="22"/>
        </w:rPr>
        <w:t>NAU uses the following courses for the in-depth study of an aspect, concept, or problem in existing plans of study. Such courses share a common purpose and style but are intended to make the curriculum more flexible. They can be used in any department and then carry the appropriate departmental code.</w:t>
      </w:r>
    </w:p>
    <w:p w:rsidR="001D7022" w:rsidRPr="00410E52" w:rsidRDefault="001D7022" w:rsidP="00024E5B">
      <w:pPr>
        <w:ind w:left="90"/>
        <w:rPr>
          <w:sz w:val="10"/>
        </w:rPr>
      </w:pPr>
      <w:r w:rsidRPr="000F21A0">
        <w:rPr>
          <w:rFonts w:ascii="Tw Cen MT" w:hAnsi="Tw Cen MT"/>
          <w:b/>
          <w:smallCaps/>
          <w:color w:val="663300"/>
        </w:rPr>
        <w:t>Internal to SoC:</w:t>
      </w:r>
      <w:r>
        <w:rPr>
          <w:rFonts w:ascii="Tw Cen MT" w:hAnsi="Tw Cen MT"/>
        </w:rPr>
        <w:t xml:space="preserve"> </w:t>
      </w:r>
      <w:r w:rsidRPr="001D7022">
        <w:rPr>
          <w:rFonts w:ascii="Tw Cen MT" w:hAnsi="Tw Cen MT"/>
          <w:sz w:val="20"/>
        </w:rPr>
        <w:t xml:space="preserve">Until the conversion to CourseDog, we will build the </w:t>
      </w:r>
      <w:r w:rsidRPr="001D7022">
        <w:rPr>
          <w:rFonts w:ascii="Tw Cen MT" w:hAnsi="Tw Cen MT"/>
          <w:b/>
          <w:sz w:val="20"/>
        </w:rPr>
        <w:t>shaded</w:t>
      </w:r>
      <w:r w:rsidRPr="001D7022">
        <w:rPr>
          <w:rFonts w:ascii="Tw Cen MT" w:hAnsi="Tw Cen MT"/>
          <w:sz w:val="20"/>
        </w:rPr>
        <w:t xml:space="preserve"> classes as a special category, since they are </w:t>
      </w:r>
      <w:r w:rsidRPr="001D7022">
        <w:rPr>
          <w:rFonts w:ascii="Tw Cen MT" w:hAnsi="Tw Cen MT"/>
          <w:i/>
          <w:sz w:val="20"/>
        </w:rPr>
        <w:t>used on a per-student (individualized) basis</w:t>
      </w:r>
      <w:r w:rsidRPr="001D7022">
        <w:rPr>
          <w:rFonts w:ascii="Tw Cen MT" w:hAnsi="Tw Cen MT"/>
          <w:sz w:val="20"/>
        </w:rPr>
        <w:t xml:space="preserve">. Per the Catalog, </w:t>
      </w:r>
      <w:r w:rsidR="00024E5B">
        <w:rPr>
          <w:rFonts w:ascii="Tw Cen MT" w:hAnsi="Tw Cen MT"/>
          <w:sz w:val="20"/>
        </w:rPr>
        <w:t>such</w:t>
      </w:r>
      <w:r w:rsidRPr="001D7022">
        <w:rPr>
          <w:rFonts w:ascii="Tw Cen MT" w:hAnsi="Tw Cen MT"/>
          <w:sz w:val="20"/>
        </w:rPr>
        <w:t xml:space="preserve"> individualized classes have options (dual grading basis </w:t>
      </w:r>
      <w:r w:rsidR="00024E5B">
        <w:rPr>
          <w:rFonts w:ascii="Tw Cen MT" w:hAnsi="Tw Cen MT"/>
          <w:sz w:val="20"/>
        </w:rPr>
        <w:t>&amp;</w:t>
      </w:r>
      <w:r w:rsidRPr="001D7022">
        <w:rPr>
          <w:rFonts w:ascii="Tw Cen MT" w:hAnsi="Tw Cen MT"/>
          <w:sz w:val="20"/>
        </w:rPr>
        <w:t xml:space="preserve"> variable units). The </w:t>
      </w:r>
      <w:r w:rsidR="00673C17">
        <w:rPr>
          <w:rFonts w:ascii="Tw Cen MT" w:hAnsi="Tw Cen MT"/>
          <w:sz w:val="20"/>
        </w:rPr>
        <w:t>unit must provide the grading basis</w:t>
      </w:r>
      <w:r w:rsidRPr="001D7022">
        <w:rPr>
          <w:rFonts w:ascii="Tw Cen MT" w:hAnsi="Tw Cen MT"/>
          <w:sz w:val="20"/>
        </w:rPr>
        <w:t xml:space="preserve">. </w:t>
      </w:r>
      <w:r>
        <w:rPr>
          <w:rFonts w:ascii="Tw Cen MT" w:hAnsi="Tw Cen MT"/>
          <w:sz w:val="20"/>
        </w:rPr>
        <w:t xml:space="preserve">Our process is to </w:t>
      </w:r>
      <w:r w:rsidR="00673C17">
        <w:rPr>
          <w:rFonts w:ascii="Tw Cen MT" w:hAnsi="Tw Cen MT"/>
          <w:sz w:val="20"/>
        </w:rPr>
        <w:t>build</w:t>
      </w:r>
      <w:r w:rsidRPr="001D7022">
        <w:rPr>
          <w:rFonts w:ascii="Tw Cen MT" w:hAnsi="Tw Cen MT"/>
          <w:sz w:val="20"/>
        </w:rPr>
        <w:t xml:space="preserve"> as </w:t>
      </w:r>
      <w:r w:rsidRPr="001D7022">
        <w:rPr>
          <w:rFonts w:ascii="Tw Cen MT" w:hAnsi="Tw Cen MT"/>
          <w:b/>
          <w:sz w:val="20"/>
        </w:rPr>
        <w:t>Active, Schedule Print OFF, Consent Required, with an Enro</w:t>
      </w:r>
      <w:r w:rsidR="00024E5B">
        <w:rPr>
          <w:rFonts w:ascii="Tw Cen MT" w:hAnsi="Tw Cen MT"/>
          <w:b/>
          <w:sz w:val="20"/>
        </w:rPr>
        <w:t>l</w:t>
      </w:r>
      <w:r w:rsidRPr="001D7022">
        <w:rPr>
          <w:rFonts w:ascii="Tw Cen MT" w:hAnsi="Tw Cen MT"/>
          <w:b/>
          <w:sz w:val="20"/>
        </w:rPr>
        <w:t>l Cap of one</w:t>
      </w:r>
      <w:r w:rsidRPr="001D7022">
        <w:rPr>
          <w:rFonts w:ascii="Tw Cen MT" w:hAnsi="Tw Cen MT"/>
          <w:sz w:val="20"/>
        </w:rPr>
        <w:t xml:space="preserve">. Before enrollment begins, </w:t>
      </w:r>
      <w:r>
        <w:rPr>
          <w:rFonts w:ascii="Tw Cen MT" w:hAnsi="Tw Cen MT"/>
          <w:sz w:val="20"/>
        </w:rPr>
        <w:t>if more</w:t>
      </w:r>
      <w:r w:rsidRPr="001D7022">
        <w:rPr>
          <w:rFonts w:ascii="Tw Cen MT" w:hAnsi="Tw Cen MT"/>
          <w:sz w:val="20"/>
        </w:rPr>
        <w:t xml:space="preserve"> students </w:t>
      </w:r>
      <w:r>
        <w:rPr>
          <w:rFonts w:ascii="Tw Cen MT" w:hAnsi="Tw Cen MT"/>
          <w:sz w:val="20"/>
        </w:rPr>
        <w:t xml:space="preserve">are </w:t>
      </w:r>
      <w:r w:rsidR="00673C17">
        <w:rPr>
          <w:rFonts w:ascii="Tw Cen MT" w:hAnsi="Tw Cen MT"/>
          <w:sz w:val="20"/>
        </w:rPr>
        <w:t xml:space="preserve">to be </w:t>
      </w:r>
      <w:r>
        <w:rPr>
          <w:rFonts w:ascii="Tw Cen MT" w:hAnsi="Tw Cen MT"/>
          <w:sz w:val="20"/>
        </w:rPr>
        <w:t>permitted</w:t>
      </w:r>
      <w:r w:rsidR="00673C17">
        <w:rPr>
          <w:rFonts w:ascii="Tw Cen MT" w:hAnsi="Tw Cen MT"/>
          <w:sz w:val="20"/>
        </w:rPr>
        <w:t xml:space="preserve">, </w:t>
      </w:r>
      <w:r w:rsidR="00673C17" w:rsidRPr="001D7022">
        <w:rPr>
          <w:rFonts w:ascii="Tw Cen MT" w:hAnsi="Tw Cen MT"/>
          <w:sz w:val="20"/>
        </w:rPr>
        <w:t>the Enro</w:t>
      </w:r>
      <w:r w:rsidR="00024E5B">
        <w:rPr>
          <w:rFonts w:ascii="Tw Cen MT" w:hAnsi="Tw Cen MT"/>
          <w:sz w:val="20"/>
        </w:rPr>
        <w:t>l</w:t>
      </w:r>
      <w:r w:rsidR="00673C17" w:rsidRPr="001D7022">
        <w:rPr>
          <w:rFonts w:ascii="Tw Cen MT" w:hAnsi="Tw Cen MT"/>
          <w:sz w:val="20"/>
        </w:rPr>
        <w:t xml:space="preserve">l Cap should be </w:t>
      </w:r>
      <w:r w:rsidR="00673C17">
        <w:rPr>
          <w:rFonts w:ascii="Tw Cen MT" w:hAnsi="Tw Cen MT"/>
          <w:sz w:val="20"/>
        </w:rPr>
        <w:t>increased</w:t>
      </w:r>
      <w:r w:rsidRPr="001D7022">
        <w:rPr>
          <w:rFonts w:ascii="Tw Cen MT" w:hAnsi="Tw Cen MT"/>
          <w:sz w:val="20"/>
        </w:rPr>
        <w:t>. Units may proac</w:t>
      </w:r>
      <w:r w:rsidR="00024E5B">
        <w:rPr>
          <w:rFonts w:ascii="Tw Cen MT" w:hAnsi="Tw Cen MT"/>
          <w:sz w:val="20"/>
        </w:rPr>
        <w:t>tively request several sections–</w:t>
      </w:r>
      <w:r w:rsidRPr="001D7022">
        <w:rPr>
          <w:rFonts w:ascii="Tw Cen MT" w:hAnsi="Tw Cen MT"/>
          <w:sz w:val="20"/>
        </w:rPr>
        <w:t>some as LTR…others as P/F (per Catalog specs). If variable units, the</w:t>
      </w:r>
      <w:r w:rsidR="00673C17">
        <w:rPr>
          <w:rFonts w:ascii="Tw Cen MT" w:hAnsi="Tw Cen MT"/>
          <w:sz w:val="20"/>
        </w:rPr>
        <w:t>se classes</w:t>
      </w:r>
      <w:r w:rsidRPr="001D7022">
        <w:rPr>
          <w:rFonts w:ascii="Tw Cen MT" w:hAnsi="Tw Cen MT"/>
          <w:sz w:val="20"/>
        </w:rPr>
        <w:t xml:space="preserve"> should have Note 0108.</w:t>
      </w:r>
    </w:p>
    <w:tbl>
      <w:tblPr>
        <w:tblStyle w:val="TableGrid"/>
        <w:tblW w:w="11075" w:type="dxa"/>
        <w:tblInd w:w="-190" w:type="dxa"/>
        <w:tblLook w:val="04A0" w:firstRow="1" w:lastRow="0" w:firstColumn="1" w:lastColumn="0" w:noHBand="0" w:noVBand="1"/>
      </w:tblPr>
      <w:tblGrid>
        <w:gridCol w:w="3384"/>
        <w:gridCol w:w="7691"/>
      </w:tblGrid>
      <w:tr w:rsidR="00410E52" w:rsidRPr="006E70AF" w:rsidTr="00AF0983">
        <w:tc>
          <w:tcPr>
            <w:tcW w:w="3384" w:type="dxa"/>
            <w:tcBorders>
              <w:top w:val="nil"/>
            </w:tcBorders>
            <w:shd w:val="clear" w:color="auto" w:fill="004800"/>
          </w:tcPr>
          <w:p w:rsidR="00410E52" w:rsidRPr="006E70AF" w:rsidRDefault="00C02585" w:rsidP="00496820">
            <w:pPr>
              <w:rPr>
                <w:rFonts w:ascii="Tw Cen MT" w:hAnsi="Tw Cen MT"/>
                <w:b/>
                <w:sz w:val="20"/>
                <w:szCs w:val="18"/>
              </w:rPr>
            </w:pPr>
            <w:r>
              <w:rPr>
                <w:b/>
                <w:color w:val="FFFF00"/>
              </w:rPr>
              <w:t>SHADED</w:t>
            </w:r>
            <w:r w:rsidR="00496820">
              <w:rPr>
                <w:b/>
                <w:color w:val="FFFF00"/>
              </w:rPr>
              <w:t xml:space="preserve"> </w:t>
            </w:r>
            <w:r w:rsidR="00496820" w:rsidRPr="00496820">
              <w:rPr>
                <w:b/>
                <w:color w:val="FFFFFF" w:themeColor="background1"/>
                <w:sz w:val="24"/>
              </w:rPr>
              <w:t>= Individualized</w:t>
            </w:r>
            <w:r w:rsidR="00410E52" w:rsidRPr="00496820">
              <w:rPr>
                <w:b/>
                <w:color w:val="FFFFFF" w:themeColor="background1"/>
                <w:sz w:val="24"/>
              </w:rPr>
              <w:t xml:space="preserve"> </w:t>
            </w:r>
            <w:r w:rsidR="00410E52" w:rsidRPr="0047224D">
              <w:rPr>
                <w:b/>
                <w:color w:val="FFFF00"/>
              </w:rPr>
              <w:t>Course Lines</w:t>
            </w:r>
          </w:p>
        </w:tc>
        <w:tc>
          <w:tcPr>
            <w:tcW w:w="7691" w:type="dxa"/>
            <w:tcBorders>
              <w:top w:val="nil"/>
            </w:tcBorders>
            <w:shd w:val="clear" w:color="auto" w:fill="004800"/>
            <w:vAlign w:val="center"/>
          </w:tcPr>
          <w:p w:rsidR="00410E52" w:rsidRPr="006E70AF" w:rsidRDefault="00FF0456" w:rsidP="006054C8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FF0456">
              <w:rPr>
                <w:rFonts w:ascii="Tw Cen MT" w:eastAsia="Times New Roman" w:hAnsi="Tw Cen MT" w:cs="Times New Roman"/>
                <w:sz w:val="18"/>
                <w:szCs w:val="18"/>
              </w:rPr>
              <w:t>https://www5.nau.edu/policies/client/Details/707?whoIsLooking=Students&amp;pertainsTo=All</w:t>
            </w:r>
          </w:p>
        </w:tc>
      </w:tr>
      <w:tr w:rsidR="006E70AF" w:rsidRPr="009C1F5B" w:rsidTr="00AF0983">
        <w:tc>
          <w:tcPr>
            <w:tcW w:w="3384" w:type="dxa"/>
            <w:shd w:val="clear" w:color="auto" w:fill="8FFBDF"/>
          </w:tcPr>
          <w:p w:rsidR="006E70AF" w:rsidRPr="00590473" w:rsidRDefault="006E70AF" w:rsidP="006E70AF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389  Cooperative Education  (1-12)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6E70AF" w:rsidRPr="009C1F5B" w:rsidRDefault="006E70AF" w:rsidP="006E70AF">
            <w:pPr>
              <w:spacing w:before="100" w:beforeAutospacing="1" w:after="100" w:afterAutospacing="1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>Individualized preplanned cooperative employment experience related to your field of study or career objectives. Pass-Fail only. May be repeated for up to 12 units of credit. Fee required.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</w:p>
        </w:tc>
      </w:tr>
      <w:tr w:rsidR="00AF0983" w:rsidRPr="009C1F5B" w:rsidTr="00AF0983">
        <w:tc>
          <w:tcPr>
            <w:tcW w:w="3384" w:type="dxa"/>
            <w:shd w:val="clear" w:color="auto" w:fill="8FFBDF"/>
          </w:tcPr>
          <w:p w:rsidR="00AF0983" w:rsidRPr="00AF0983" w:rsidRDefault="00AF0983" w:rsidP="00360F81">
            <w:pPr>
              <w:rPr>
                <w:rFonts w:ascii="Tw Cen MT" w:hAnsi="Tw Cen MT"/>
                <w:b/>
                <w:szCs w:val="19"/>
              </w:rPr>
            </w:pPr>
            <w:r w:rsidRPr="00AF0983">
              <w:rPr>
                <w:rFonts w:ascii="Tw Cen MT" w:hAnsi="Tw Cen MT"/>
                <w:b/>
                <w:szCs w:val="19"/>
              </w:rPr>
              <w:t>208  Fieldwork Experience  (1-6)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AF0983" w:rsidRPr="001B7B8C" w:rsidRDefault="00AF0983" w:rsidP="00360F81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1B7B8C">
              <w:rPr>
                <w:rFonts w:ascii="Tw Cen MT" w:eastAsia="Times New Roman" w:hAnsi="Tw Cen MT" w:cs="Times New Roman"/>
                <w:sz w:val="16"/>
                <w:szCs w:val="18"/>
              </w:rPr>
              <w:t>Supervised field experience in an appropriate organization, for students with limited background in a discipline. Pass-Fail only.</w:t>
            </w:r>
          </w:p>
        </w:tc>
      </w:tr>
      <w:tr w:rsidR="00AF0983" w:rsidRPr="000268B5" w:rsidTr="00AF0983">
        <w:tc>
          <w:tcPr>
            <w:tcW w:w="3384" w:type="dxa"/>
            <w:shd w:val="clear" w:color="auto" w:fill="8FFBDF"/>
          </w:tcPr>
          <w:p w:rsidR="00AF0983" w:rsidRPr="00AF0983" w:rsidRDefault="00AF0983" w:rsidP="00360F81">
            <w:pPr>
              <w:rPr>
                <w:rFonts w:ascii="Tw Cen MT" w:hAnsi="Tw Cen MT"/>
                <w:b/>
                <w:szCs w:val="19"/>
              </w:rPr>
            </w:pPr>
            <w:r w:rsidRPr="00AF0983">
              <w:rPr>
                <w:rFonts w:ascii="Tw Cen MT" w:hAnsi="Tw Cen MT"/>
                <w:b/>
                <w:szCs w:val="19"/>
              </w:rPr>
              <w:t>279  Introductory Undergrad</w:t>
            </w:r>
            <w:r w:rsidRPr="00AF0983">
              <w:rPr>
                <w:rFonts w:ascii="Tw Cen MT" w:hAnsi="Tw Cen MT"/>
                <w:b/>
                <w:szCs w:val="19"/>
              </w:rPr>
              <w:t xml:space="preserve"> Research  (1-6)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AF0983" w:rsidRPr="001B7B8C" w:rsidRDefault="00AF0983" w:rsidP="00360F81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1B7B8C">
              <w:rPr>
                <w:rFonts w:ascii="Tw Cen MT" w:eastAsia="Times New Roman" w:hAnsi="Tw Cen MT" w:cs="Times New Roman"/>
                <w:sz w:val="16"/>
                <w:szCs w:val="18"/>
              </w:rPr>
              <w:t>Supervised research experience for students with limited background in a discipline. Pass-Fail or letter grade. May be repeated for up to 12 units of credit.</w:t>
            </w:r>
          </w:p>
        </w:tc>
      </w:tr>
      <w:tr w:rsidR="006E70AF" w:rsidRPr="009C1F5B" w:rsidTr="00AF0983">
        <w:tc>
          <w:tcPr>
            <w:tcW w:w="3384" w:type="dxa"/>
            <w:shd w:val="clear" w:color="auto" w:fill="8FFBDF"/>
          </w:tcPr>
          <w:p w:rsidR="006E70AF" w:rsidRPr="00590473" w:rsidRDefault="006E70AF" w:rsidP="006E70AF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408  Fieldwork Experience  (1-12)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6E70AF" w:rsidRPr="009C1F5B" w:rsidRDefault="006E70AF" w:rsidP="006E70AF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>Individualized supervised field experience in an appropriate agency or organization. Pass-Fail only. May be repeated for up to 12 units of credit. Fe</w:t>
            </w:r>
            <w:bookmarkStart w:id="0" w:name="_GoBack"/>
            <w:bookmarkEnd w:id="0"/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>e required.</w:t>
            </w:r>
          </w:p>
        </w:tc>
      </w:tr>
      <w:tr w:rsidR="006E70AF" w:rsidRPr="009C1F5B" w:rsidTr="00AF0983">
        <w:tc>
          <w:tcPr>
            <w:tcW w:w="3384" w:type="dxa"/>
            <w:shd w:val="clear" w:color="auto" w:fill="8FFBDF"/>
          </w:tcPr>
          <w:p w:rsidR="006E70AF" w:rsidRPr="00590473" w:rsidRDefault="006E70AF" w:rsidP="006E70AF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466  Legislative Internship (1-12)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6E70AF" w:rsidRPr="009C1F5B" w:rsidRDefault="006E70AF" w:rsidP="00FB0E7E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Supervised internship in the Arizona Legislature during spring term. Students are selected on a competitive basis, and you must apply during the </w:t>
            </w:r>
            <w:r w:rsidR="00FB0E7E">
              <w:rPr>
                <w:rFonts w:ascii="Tw Cen MT" w:eastAsia="Times New Roman" w:hAnsi="Tw Cen MT" w:cs="Times New Roman"/>
                <w:sz w:val="18"/>
                <w:szCs w:val="18"/>
              </w:rPr>
              <w:t>fall term. (To be eligible, students</w:t>
            </w: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must be a candidate for a bachelor's degree, have completed all lower-division requirements, and have attained senior status at the end of the fall term preceding the internship.) Course enrol</w:t>
            </w:r>
            <w:r w:rsidR="00FB0E7E">
              <w:rPr>
                <w:rFonts w:ascii="Tw Cen MT" w:eastAsia="Times New Roman" w:hAnsi="Tw Cen MT" w:cs="Times New Roman"/>
                <w:sz w:val="18"/>
                <w:szCs w:val="18"/>
              </w:rPr>
              <w:t>lment is handled by the Assoc.</w:t>
            </w: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Vice Provost/Associate Dean for University College. Pass-Fail only.</w:t>
            </w:r>
          </w:p>
        </w:tc>
      </w:tr>
      <w:tr w:rsidR="006E70AF" w:rsidRPr="009C1F5B" w:rsidTr="00AF0983">
        <w:tc>
          <w:tcPr>
            <w:tcW w:w="3384" w:type="dxa"/>
            <w:shd w:val="clear" w:color="auto" w:fill="8FFBDF"/>
          </w:tcPr>
          <w:p w:rsidR="006E70AF" w:rsidRPr="00590473" w:rsidRDefault="00AF0983" w:rsidP="006E70AF">
            <w:pPr>
              <w:rPr>
                <w:rFonts w:ascii="Tw Cen MT" w:hAnsi="Tw Cen MT"/>
                <w:b/>
                <w:szCs w:val="18"/>
              </w:rPr>
            </w:pPr>
            <w:r>
              <w:rPr>
                <w:rFonts w:ascii="Tw Cen MT" w:hAnsi="Tw Cen MT"/>
                <w:b/>
                <w:szCs w:val="18"/>
              </w:rPr>
              <w:t>485  Undergrad</w:t>
            </w:r>
            <w:r w:rsidR="006E70AF" w:rsidRPr="00590473">
              <w:rPr>
                <w:rFonts w:ascii="Tw Cen MT" w:hAnsi="Tw Cen MT"/>
                <w:b/>
                <w:szCs w:val="18"/>
              </w:rPr>
              <w:t xml:space="preserve"> Research  (1-6)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6E70AF" w:rsidRPr="009C1F5B" w:rsidRDefault="006E70AF" w:rsidP="006E70AF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>Individualized original research under the supervision of a research advisor. Pass-Fail or letter grade. May be repeated for up to 12 units of credit.</w:t>
            </w:r>
          </w:p>
        </w:tc>
      </w:tr>
      <w:tr w:rsidR="006E70AF" w:rsidRPr="009C1F5B" w:rsidTr="00AF0983">
        <w:tc>
          <w:tcPr>
            <w:tcW w:w="3384" w:type="dxa"/>
            <w:shd w:val="clear" w:color="auto" w:fill="8FFBDF"/>
          </w:tcPr>
          <w:p w:rsidR="006E70AF" w:rsidRPr="00590473" w:rsidRDefault="006E70AF" w:rsidP="006E70AF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497  Independent Study  (1-6)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6E70AF" w:rsidRPr="009C1F5B" w:rsidRDefault="006E70AF" w:rsidP="006E70AF">
            <w:pPr>
              <w:spacing w:before="100" w:beforeAutospacing="1" w:after="100" w:afterAutospacing="1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9C1F5B">
              <w:rPr>
                <w:rFonts w:ascii="Tw Cen MT" w:eastAsia="Times New Roman" w:hAnsi="Tw Cen MT" w:cs="Times New Roman"/>
                <w:sz w:val="18"/>
                <w:szCs w:val="18"/>
              </w:rPr>
              <w:t>Individualized approach to selected topics by guided reading and critical evaluation. Pass-Fail or letter grade. May be repeated for up to 6 units of credit.</w:t>
            </w:r>
            <w:r w:rsidRPr="00824E1C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566  Legislative Internship  (1-12)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Supervised internship in the Arizona Legislature during spring term. </w:t>
            </w:r>
            <w:r w:rsidRPr="00824E1C">
              <w:rPr>
                <w:rFonts w:ascii="Tw Cen MT" w:eastAsia="Times New Roman" w:hAnsi="Tw Cen MT" w:cs="Times New Roman"/>
                <w:sz w:val="18"/>
                <w:szCs w:val="18"/>
              </w:rPr>
              <w:t>Apply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fall term; selection is competitive, and you must be a candidate for a graduate degree. Enrollment is handled by the internship coordinator after the legislature has made its final selection. Pass-Fail only.</w:t>
            </w:r>
          </w:p>
        </w:tc>
      </w:tr>
      <w:tr w:rsidR="00AF0983" w:rsidRPr="00035731" w:rsidTr="00AF0983">
        <w:tc>
          <w:tcPr>
            <w:tcW w:w="3384" w:type="dxa"/>
            <w:shd w:val="clear" w:color="auto" w:fill="8FFBDF"/>
          </w:tcPr>
          <w:p w:rsidR="00AF0983" w:rsidRPr="00AF0983" w:rsidRDefault="00AF0983" w:rsidP="00360F81">
            <w:pPr>
              <w:rPr>
                <w:rFonts w:ascii="Tw Cen MT" w:hAnsi="Tw Cen MT"/>
                <w:b/>
                <w:szCs w:val="19"/>
              </w:rPr>
            </w:pPr>
            <w:r w:rsidRPr="00AF0983">
              <w:rPr>
                <w:rFonts w:ascii="Tw Cen MT" w:hAnsi="Tw Cen MT"/>
                <w:b/>
                <w:szCs w:val="19"/>
              </w:rPr>
              <w:t>593  Workshop  (1-3)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AF0983" w:rsidRPr="00035731" w:rsidRDefault="00AF0983" w:rsidP="00360F81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>Topical instruction involving exchange of ideas, practical methods, skills, and principles. You may count up to 6 units of 593 toward your graduate plan. Pass-Fail only.</w:t>
            </w:r>
          </w:p>
        </w:tc>
      </w:tr>
      <w:tr w:rsidR="00AF0983" w:rsidRPr="006E70AF" w:rsidTr="00AF0983">
        <w:tc>
          <w:tcPr>
            <w:tcW w:w="3384" w:type="dxa"/>
            <w:shd w:val="clear" w:color="auto" w:fill="8FFBDF"/>
          </w:tcPr>
          <w:p w:rsidR="00AF0983" w:rsidRPr="00590473" w:rsidRDefault="00AF0983" w:rsidP="005665DD">
            <w:pPr>
              <w:rPr>
                <w:rFonts w:ascii="Tw Cen MT" w:hAnsi="Tw Cen MT"/>
                <w:b/>
                <w:szCs w:val="18"/>
              </w:rPr>
            </w:pPr>
          </w:p>
        </w:tc>
        <w:tc>
          <w:tcPr>
            <w:tcW w:w="7691" w:type="dxa"/>
            <w:shd w:val="clear" w:color="auto" w:fill="auto"/>
            <w:vAlign w:val="center"/>
          </w:tcPr>
          <w:p w:rsidR="00AF0983" w:rsidRPr="006E70AF" w:rsidRDefault="00AF0983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608  Fieldwork Experience  (1-12)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Supervised field experience in an appropriate agency, organization, or situation. May not exceed 12 units of credit. Pass-Fail only. Fee required.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685  Graduate Research  (1-6)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Individualized directed research on sele</w:t>
            </w:r>
            <w:r w:rsidR="00AF0983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cted topics. Pass-Fail or LTR grade, depending on </w:t>
            </w:r>
            <w:r w:rsidR="0049749F">
              <w:rPr>
                <w:rFonts w:ascii="Tw Cen MT" w:eastAsia="Times New Roman" w:hAnsi="Tw Cen MT" w:cs="Times New Roman"/>
                <w:sz w:val="18"/>
                <w:szCs w:val="18"/>
              </w:rPr>
              <w:t>dep</w:t>
            </w:r>
            <w:r w:rsidR="0049749F" w:rsidRPr="006E70AF">
              <w:rPr>
                <w:rFonts w:ascii="Tw Cen MT" w:eastAsia="Times New Roman" w:hAnsi="Tw Cen MT" w:cs="Times New Roman"/>
                <w:sz w:val="18"/>
                <w:szCs w:val="18"/>
              </w:rPr>
              <w:t>t.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policy.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689  Final Project  (1-9)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Individualized final or capstone project. Pass-Fail or lett</w:t>
            </w:r>
            <w:r w:rsidR="001D00DF">
              <w:rPr>
                <w:rFonts w:ascii="Tw Cen MT" w:eastAsia="Times New Roman" w:hAnsi="Tw Cen MT" w:cs="Times New Roman"/>
                <w:sz w:val="18"/>
                <w:szCs w:val="18"/>
              </w:rPr>
              <w:t>er grade, depending on dep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t</w:t>
            </w:r>
            <w:r w:rsidR="001D00DF">
              <w:rPr>
                <w:rFonts w:ascii="Tw Cen MT" w:eastAsia="Times New Roman" w:hAnsi="Tw Cen MT" w:cs="Times New Roman"/>
                <w:sz w:val="18"/>
                <w:szCs w:val="18"/>
              </w:rPr>
              <w:t>.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policy.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697  Independent Study  (1-3)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D609CA">
            <w:pPr>
              <w:spacing w:before="100" w:beforeAutospacing="1" w:after="100" w:afterAutospacing="1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Individualized directed study on sele</w:t>
            </w:r>
            <w:r w:rsidR="00D609CA">
              <w:rPr>
                <w:rFonts w:ascii="Tw Cen MT" w:eastAsia="Times New Roman" w:hAnsi="Tw Cen MT" w:cs="Times New Roman"/>
                <w:sz w:val="18"/>
                <w:szCs w:val="18"/>
              </w:rPr>
              <w:t>cted topics. Pass-Fail or LTR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  <w:r w:rsidR="00D609CA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grade, depending on dept. policy. Note: </w:t>
            </w: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no more than 3 units may be included on a master's plan in education.</w:t>
            </w:r>
            <w:r w:rsidRPr="00824E1C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699  Thesis  (1-9)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Individualized directed research, writing, and oral defense of selected thesis topic. Pass-Fail only. prerequisite: admission to master's plan.</w:t>
            </w:r>
          </w:p>
        </w:tc>
      </w:tr>
      <w:tr w:rsidR="00C02585" w:rsidRPr="006E70AF" w:rsidTr="00AF0983">
        <w:tc>
          <w:tcPr>
            <w:tcW w:w="3384" w:type="dxa"/>
            <w:shd w:val="clear" w:color="auto" w:fill="8FFBDF"/>
          </w:tcPr>
          <w:p w:rsidR="00C02585" w:rsidRPr="00590473" w:rsidRDefault="00C02585" w:rsidP="005665DD">
            <w:pPr>
              <w:rPr>
                <w:rFonts w:ascii="Tw Cen MT" w:hAnsi="Tw Cen MT"/>
                <w:b/>
                <w:szCs w:val="18"/>
              </w:rPr>
            </w:pPr>
            <w:r w:rsidRPr="00590473">
              <w:rPr>
                <w:rFonts w:ascii="Tw Cen MT" w:hAnsi="Tw Cen MT"/>
                <w:b/>
                <w:szCs w:val="18"/>
              </w:rPr>
              <w:t>799  Dissertation  (1-9)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C02585" w:rsidRPr="006E70AF" w:rsidRDefault="00C02585" w:rsidP="005665DD">
            <w:pPr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6E70AF">
              <w:rPr>
                <w:rFonts w:ascii="Tw Cen MT" w:eastAsia="Times New Roman" w:hAnsi="Tw Cen MT" w:cs="Times New Roman"/>
                <w:sz w:val="18"/>
                <w:szCs w:val="18"/>
              </w:rPr>
              <w:t>Individualized directed research, writing, and oral defense of selected dissertation topic. Pass-Fail only.</w:t>
            </w:r>
          </w:p>
        </w:tc>
      </w:tr>
    </w:tbl>
    <w:p w:rsidR="000F21A0" w:rsidRPr="000F21A0" w:rsidRDefault="001D7022" w:rsidP="00590473">
      <w:pPr>
        <w:pStyle w:val="NormalWeb"/>
        <w:spacing w:before="180" w:beforeAutospacing="0" w:after="140" w:afterAutospacing="0"/>
        <w:rPr>
          <w:rFonts w:ascii="Tw Cen MT" w:hAnsi="Tw Cen MT"/>
          <w:b/>
          <w:bCs/>
        </w:rPr>
      </w:pPr>
      <w:r w:rsidRPr="001D7022">
        <w:rPr>
          <w:rStyle w:val="Strong"/>
          <w:rFonts w:ascii="Tw Cen MT" w:hAnsi="Tw Cen MT"/>
          <w:b w:val="0"/>
          <w:sz w:val="22"/>
        </w:rPr>
        <w:t>T</w:t>
      </w:r>
      <w:r>
        <w:rPr>
          <w:rStyle w:val="Strong"/>
          <w:rFonts w:ascii="Tw Cen MT" w:hAnsi="Tw Cen MT"/>
          <w:b w:val="0"/>
          <w:sz w:val="22"/>
        </w:rPr>
        <w:t>he t</w:t>
      </w:r>
      <w:r w:rsidRPr="001D7022">
        <w:rPr>
          <w:rStyle w:val="Strong"/>
          <w:rFonts w:ascii="Tw Cen MT" w:hAnsi="Tw Cen MT"/>
          <w:b w:val="0"/>
          <w:sz w:val="22"/>
        </w:rPr>
        <w:t xml:space="preserve">opic </w:t>
      </w:r>
      <w:r w:rsidR="000F21A0" w:rsidRPr="001D7022">
        <w:rPr>
          <w:rStyle w:val="Strong"/>
          <w:rFonts w:ascii="Tw Cen MT" w:hAnsi="Tw Cen MT"/>
          <w:b w:val="0"/>
          <w:sz w:val="22"/>
        </w:rPr>
        <w:t>class</w:t>
      </w:r>
      <w:r w:rsidRPr="001D7022">
        <w:rPr>
          <w:rStyle w:val="Strong"/>
          <w:rFonts w:ascii="Tw Cen MT" w:hAnsi="Tw Cen MT"/>
          <w:b w:val="0"/>
          <w:sz w:val="22"/>
        </w:rPr>
        <w:t>es</w:t>
      </w:r>
      <w:r w:rsidR="000F21A0" w:rsidRPr="001D7022">
        <w:rPr>
          <w:rStyle w:val="Strong"/>
          <w:rFonts w:ascii="Tw Cen MT" w:hAnsi="Tw Cen MT"/>
          <w:b w:val="0"/>
          <w:sz w:val="22"/>
        </w:rPr>
        <w:t xml:space="preserve"> or course line</w:t>
      </w:r>
      <w:r w:rsidRPr="001D7022">
        <w:rPr>
          <w:rStyle w:val="Strong"/>
          <w:rFonts w:ascii="Tw Cen MT" w:hAnsi="Tw Cen MT"/>
          <w:b w:val="0"/>
          <w:sz w:val="22"/>
        </w:rPr>
        <w:t>s (as shown below) should be built as standard (vs</w:t>
      </w:r>
      <w:r w:rsidR="000F21A0" w:rsidRPr="001D7022">
        <w:rPr>
          <w:rStyle w:val="Strong"/>
          <w:rFonts w:ascii="Tw Cen MT" w:hAnsi="Tw Cen MT"/>
          <w:b w:val="0"/>
          <w:sz w:val="22"/>
        </w:rPr>
        <w:t>. individual</w:t>
      </w:r>
      <w:r w:rsidRPr="001D7022">
        <w:rPr>
          <w:rStyle w:val="Strong"/>
          <w:rFonts w:ascii="Tw Cen MT" w:hAnsi="Tw Cen MT"/>
          <w:b w:val="0"/>
          <w:sz w:val="22"/>
        </w:rPr>
        <w:t>ized</w:t>
      </w:r>
      <w:r w:rsidR="00A5642B">
        <w:rPr>
          <w:rStyle w:val="Strong"/>
          <w:rFonts w:ascii="Tw Cen MT" w:hAnsi="Tw Cen MT"/>
          <w:b w:val="0"/>
          <w:sz w:val="22"/>
        </w:rPr>
        <w:t>)</w:t>
      </w:r>
      <w:r>
        <w:rPr>
          <w:rStyle w:val="Strong"/>
          <w:rFonts w:ascii="Tw Cen MT" w:hAnsi="Tw Cen MT"/>
          <w:b w:val="0"/>
          <w:sz w:val="22"/>
        </w:rPr>
        <w:t>.</w:t>
      </w:r>
      <w:r w:rsidR="002A5840" w:rsidRPr="001D7022">
        <w:rPr>
          <w:rStyle w:val="Strong"/>
          <w:rFonts w:ascii="Tw Cen MT" w:hAnsi="Tw Cen MT"/>
          <w:b w:val="0"/>
          <w:sz w:val="22"/>
        </w:rPr>
        <w:t xml:space="preserve"> This </w:t>
      </w:r>
      <w:r w:rsidR="000F21A0" w:rsidRPr="001D7022">
        <w:rPr>
          <w:rStyle w:val="Strong"/>
          <w:rFonts w:ascii="Tw Cen MT" w:hAnsi="Tw Cen MT"/>
          <w:b w:val="0"/>
          <w:sz w:val="22"/>
        </w:rPr>
        <w:t>require</w:t>
      </w:r>
      <w:r w:rsidR="002A5840" w:rsidRPr="001D7022">
        <w:rPr>
          <w:rStyle w:val="Strong"/>
          <w:rFonts w:ascii="Tw Cen MT" w:hAnsi="Tw Cen MT"/>
          <w:b w:val="0"/>
          <w:sz w:val="22"/>
        </w:rPr>
        <w:t>s</w:t>
      </w:r>
      <w:r w:rsidR="000F21A0" w:rsidRPr="001D7022">
        <w:rPr>
          <w:rStyle w:val="Strong"/>
          <w:rFonts w:ascii="Tw Cen MT" w:hAnsi="Tw Cen MT"/>
          <w:b w:val="0"/>
          <w:sz w:val="22"/>
        </w:rPr>
        <w:t xml:space="preserve"> that the unit selects a grading basis (if BTH/BIP</w:t>
      </w:r>
      <w:r w:rsidR="000F21A0" w:rsidRPr="001B7B8C">
        <w:rPr>
          <w:rStyle w:val="Strong"/>
          <w:rFonts w:ascii="Tw Cen MT" w:hAnsi="Tw Cen MT"/>
          <w:b w:val="0"/>
          <w:sz w:val="22"/>
        </w:rPr>
        <w:t xml:space="preserve">) </w:t>
      </w:r>
      <w:r w:rsidR="000F21A0" w:rsidRPr="004A0051">
        <w:rPr>
          <w:rStyle w:val="Strong"/>
          <w:rFonts w:ascii="Tw Cen MT" w:hAnsi="Tw Cen MT"/>
          <w:i/>
          <w:sz w:val="22"/>
        </w:rPr>
        <w:t>and</w:t>
      </w:r>
      <w:r w:rsidR="000F21A0" w:rsidRPr="001B7B8C">
        <w:rPr>
          <w:rStyle w:val="Strong"/>
          <w:rFonts w:ascii="Tw Cen MT" w:hAnsi="Tw Cen MT"/>
          <w:b w:val="0"/>
          <w:sz w:val="22"/>
        </w:rPr>
        <w:t xml:space="preserve"> number of units (if variable units</w:t>
      </w:r>
      <w:r w:rsidR="002A5840">
        <w:rPr>
          <w:rStyle w:val="Strong"/>
          <w:rFonts w:ascii="Tw Cen MT" w:hAnsi="Tw Cen MT"/>
          <w:b w:val="0"/>
          <w:sz w:val="22"/>
        </w:rPr>
        <w:t xml:space="preserve"> is a catalog option</w:t>
      </w:r>
      <w:r w:rsidR="000F21A0" w:rsidRPr="001B7B8C">
        <w:rPr>
          <w:rStyle w:val="Strong"/>
          <w:rFonts w:ascii="Tw Cen MT" w:hAnsi="Tw Cen MT"/>
          <w:b w:val="0"/>
          <w:sz w:val="22"/>
        </w:rPr>
        <w:t>). Without these selections, the class cannot be Active.</w:t>
      </w:r>
      <w:r w:rsidR="002A5840">
        <w:rPr>
          <w:rStyle w:val="Strong"/>
          <w:rFonts w:ascii="Tw Cen MT" w:hAnsi="Tw Cen MT"/>
          <w:b w:val="0"/>
          <w:sz w:val="22"/>
        </w:rPr>
        <w:t xml:space="preserve"> An Enroll cap is also needed.</w:t>
      </w:r>
      <w:r w:rsidR="00024E5B">
        <w:rPr>
          <w:rStyle w:val="Strong"/>
          <w:rFonts w:ascii="Tw Cen MT" w:hAnsi="Tw Cen MT"/>
          <w:b w:val="0"/>
          <w:sz w:val="22"/>
        </w:rPr>
        <w:t xml:space="preserve"> The Consent setting should match the Catalog.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3510"/>
        <w:gridCol w:w="540"/>
        <w:gridCol w:w="7020"/>
      </w:tblGrid>
      <w:tr w:rsidR="00C02585" w:rsidRPr="006E70AF" w:rsidTr="00C02585">
        <w:trPr>
          <w:trHeight w:val="341"/>
        </w:trPr>
        <w:tc>
          <w:tcPr>
            <w:tcW w:w="4050" w:type="dxa"/>
            <w:gridSpan w:val="2"/>
            <w:shd w:val="clear" w:color="auto" w:fill="004800"/>
            <w:vAlign w:val="center"/>
          </w:tcPr>
          <w:p w:rsidR="00C02585" w:rsidRPr="006E70AF" w:rsidRDefault="00C02585" w:rsidP="00C02585">
            <w:pPr>
              <w:rPr>
                <w:rFonts w:ascii="Tw Cen MT" w:hAnsi="Tw Cen MT"/>
                <w:b/>
                <w:sz w:val="20"/>
                <w:szCs w:val="18"/>
              </w:rPr>
            </w:pPr>
            <w:r>
              <w:rPr>
                <w:b/>
                <w:color w:val="FFFF00"/>
              </w:rPr>
              <w:t xml:space="preserve">Not Shaded (Treat like </w:t>
            </w:r>
            <w:r w:rsidRPr="00A74DFE">
              <w:rPr>
                <w:b/>
                <w:color w:val="FFFF00"/>
              </w:rPr>
              <w:t xml:space="preserve">a </w:t>
            </w:r>
            <w:r w:rsidRPr="00A74DFE">
              <w:rPr>
                <w:b/>
                <w:color w:val="FFFFFF" w:themeColor="background1"/>
              </w:rPr>
              <w:t xml:space="preserve">standard </w:t>
            </w:r>
            <w:r>
              <w:rPr>
                <w:b/>
                <w:color w:val="FFFF00"/>
              </w:rPr>
              <w:t>class)</w:t>
            </w:r>
          </w:p>
        </w:tc>
        <w:tc>
          <w:tcPr>
            <w:tcW w:w="7020" w:type="dxa"/>
            <w:shd w:val="clear" w:color="auto" w:fill="004800"/>
            <w:vAlign w:val="center"/>
          </w:tcPr>
          <w:p w:rsidR="00C02585" w:rsidRDefault="006041E3" w:rsidP="00C02585">
            <w:pPr>
              <w:rPr>
                <w:rFonts w:ascii="Tw Cen MT" w:eastAsia="Times New Roman" w:hAnsi="Tw Cen MT" w:cs="Times New Roman"/>
                <w:szCs w:val="18"/>
              </w:rPr>
            </w:pPr>
            <w:r w:rsidRPr="006041E3">
              <w:rPr>
                <w:rFonts w:ascii="Tw Cen MT" w:eastAsia="Times New Roman" w:hAnsi="Tw Cen MT" w:cs="Times New Roman"/>
                <w:szCs w:val="18"/>
              </w:rPr>
              <w:t>These classes can’t be Active until grading basis and units have been set.</w:t>
            </w:r>
          </w:p>
          <w:p w:rsidR="00422CE1" w:rsidRPr="006041E3" w:rsidRDefault="00422CE1" w:rsidP="00C02585">
            <w:pPr>
              <w:rPr>
                <w:rFonts w:ascii="Tw Cen MT" w:eastAsia="Times New Roman" w:hAnsi="Tw Cen MT" w:cs="Times New Roman"/>
                <w:szCs w:val="18"/>
              </w:rPr>
            </w:pPr>
            <w:r>
              <w:rPr>
                <w:rFonts w:ascii="Tw Cen MT" w:eastAsia="Times New Roman" w:hAnsi="Tw Cen MT" w:cs="Times New Roman"/>
                <w:szCs w:val="18"/>
              </w:rPr>
              <w:t>Are included in Institutional Research. Visible and open for Enrollment.</w:t>
            </w:r>
          </w:p>
        </w:tc>
      </w:tr>
      <w:tr w:rsidR="00C02585" w:rsidRPr="00035731" w:rsidTr="00FB0E7E">
        <w:tc>
          <w:tcPr>
            <w:tcW w:w="3510" w:type="dxa"/>
          </w:tcPr>
          <w:p w:rsidR="00C02585" w:rsidRPr="00FB0E7E" w:rsidRDefault="00C02585" w:rsidP="005665DD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199  Special Topics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02585" w:rsidRPr="00035731" w:rsidRDefault="00C02585" w:rsidP="005665DD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 xml:space="preserve">Foundations of intellectual inquiry. In-depth study of a substantive problem. Letter grade only. May be repeated for up to 6 units of credit. </w:t>
            </w:r>
            <w:r w:rsidRPr="00035731">
              <w:rPr>
                <w:rFonts w:ascii="Tw Cen MT" w:eastAsia="Times New Roman" w:hAnsi="Tw Cen MT" w:cs="Times New Roman"/>
                <w:i/>
                <w:iCs/>
                <w:sz w:val="16"/>
                <w:szCs w:val="18"/>
              </w:rPr>
              <w:t>A specific topic may be offered under this course line no more than three times.</w:t>
            </w:r>
          </w:p>
        </w:tc>
      </w:tr>
      <w:tr w:rsidR="00C02585" w:rsidRPr="00035731" w:rsidTr="00FB0E7E">
        <w:tc>
          <w:tcPr>
            <w:tcW w:w="3510" w:type="dxa"/>
          </w:tcPr>
          <w:p w:rsidR="00C02585" w:rsidRPr="00FB0E7E" w:rsidRDefault="00C02585" w:rsidP="005665DD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299  Special Topics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02585" w:rsidRPr="00035731" w:rsidRDefault="00C02585" w:rsidP="005665DD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 xml:space="preserve">In-depth study of an aspect, concept, or problem. Letter grade only. May be repeated for up to 6 units of credit. </w:t>
            </w:r>
            <w:r w:rsidRPr="00035731">
              <w:rPr>
                <w:rFonts w:ascii="Tw Cen MT" w:eastAsia="Times New Roman" w:hAnsi="Tw Cen MT" w:cs="Times New Roman"/>
                <w:i/>
                <w:iCs/>
                <w:sz w:val="16"/>
                <w:szCs w:val="18"/>
              </w:rPr>
              <w:t>A specific topic may be offered under this course line no more than three times.</w:t>
            </w:r>
          </w:p>
        </w:tc>
      </w:tr>
      <w:tr w:rsidR="00C02585" w:rsidRPr="00035731" w:rsidTr="00FB0E7E">
        <w:tc>
          <w:tcPr>
            <w:tcW w:w="3510" w:type="dxa"/>
          </w:tcPr>
          <w:p w:rsidR="00C02585" w:rsidRPr="00FB0E7E" w:rsidRDefault="00C02585" w:rsidP="005665DD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399  Special Topics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02585" w:rsidRPr="00035731" w:rsidRDefault="00C02585" w:rsidP="005665DD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 xml:space="preserve">In-depth study of an aspect, concept, or problem. Letter grade only. May be repeated for up to 6 units of credit. </w:t>
            </w:r>
            <w:r w:rsidRPr="00035731">
              <w:rPr>
                <w:rFonts w:ascii="Tw Cen MT" w:eastAsia="Times New Roman" w:hAnsi="Tw Cen MT" w:cs="Times New Roman"/>
                <w:i/>
                <w:iCs/>
                <w:sz w:val="16"/>
                <w:szCs w:val="18"/>
              </w:rPr>
              <w:t>A specific topic may be offered under this course line no more than three times.</w:t>
            </w:r>
          </w:p>
        </w:tc>
      </w:tr>
      <w:tr w:rsidR="00C02585" w:rsidRPr="00035731" w:rsidTr="00FB0E7E">
        <w:tc>
          <w:tcPr>
            <w:tcW w:w="3510" w:type="dxa"/>
            <w:shd w:val="clear" w:color="auto" w:fill="auto"/>
          </w:tcPr>
          <w:p w:rsidR="00C02585" w:rsidRPr="00FB0E7E" w:rsidRDefault="00C02585" w:rsidP="005665DD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499  Contemporary Developments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02585" w:rsidRPr="00035731" w:rsidRDefault="00C02585" w:rsidP="005665DD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 xml:space="preserve">Examines recent trends and investigations in a selected area. Letter grade only. May be repeated for up to 6 units of credit. </w:t>
            </w:r>
            <w:r w:rsidRPr="00035731">
              <w:rPr>
                <w:rFonts w:ascii="Tw Cen MT" w:eastAsia="Times New Roman" w:hAnsi="Tw Cen MT" w:cs="Times New Roman"/>
                <w:i/>
                <w:iCs/>
                <w:sz w:val="16"/>
                <w:szCs w:val="18"/>
              </w:rPr>
              <w:t>A specific topic may be offered under this course line no more than three times.</w:t>
            </w:r>
          </w:p>
        </w:tc>
      </w:tr>
      <w:tr w:rsidR="006E70AF" w:rsidRPr="00035731" w:rsidTr="00FB0E7E">
        <w:tc>
          <w:tcPr>
            <w:tcW w:w="3510" w:type="dxa"/>
            <w:shd w:val="clear" w:color="auto" w:fill="auto"/>
          </w:tcPr>
          <w:p w:rsidR="006E70AF" w:rsidRPr="00FB0E7E" w:rsidRDefault="006E70AF" w:rsidP="006E70AF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 xml:space="preserve">587  Professional Development Seminar  </w:t>
            </w:r>
            <w:r w:rsidR="00410E52" w:rsidRPr="00FB0E7E">
              <w:rPr>
                <w:rFonts w:ascii="Tw Cen MT" w:hAnsi="Tw Cen MT"/>
                <w:b/>
                <w:sz w:val="19"/>
                <w:szCs w:val="19"/>
              </w:rPr>
              <w:br/>
            </w:r>
            <w:r w:rsidRPr="00FB0E7E">
              <w:rPr>
                <w:rFonts w:ascii="Tw Cen MT" w:hAnsi="Tw Cen MT"/>
                <w:b/>
                <w:sz w:val="19"/>
                <w:szCs w:val="19"/>
              </w:rPr>
              <w:t>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70AF" w:rsidRPr="00035731" w:rsidRDefault="006E70AF" w:rsidP="006E70AF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>Designed to assist in preparing you for entry into your professional arena. Pass-Fail or letter grade, depending on department policy.</w:t>
            </w:r>
          </w:p>
        </w:tc>
      </w:tr>
      <w:tr w:rsidR="006E70AF" w:rsidRPr="00035731" w:rsidTr="00FB0E7E">
        <w:tc>
          <w:tcPr>
            <w:tcW w:w="3510" w:type="dxa"/>
          </w:tcPr>
          <w:p w:rsidR="006E70AF" w:rsidRPr="00FB0E7E" w:rsidRDefault="006E70AF" w:rsidP="006E70AF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597  Reading for Comprehensive Exam  (1-9)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70AF" w:rsidRPr="00035731" w:rsidRDefault="006E70AF" w:rsidP="006E70AF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>Preparation for comprehensive examination. Pass-Fail only.</w:t>
            </w:r>
          </w:p>
        </w:tc>
      </w:tr>
      <w:tr w:rsidR="006E70AF" w:rsidRPr="00035731" w:rsidTr="00FB0E7E">
        <w:tc>
          <w:tcPr>
            <w:tcW w:w="3510" w:type="dxa"/>
          </w:tcPr>
          <w:p w:rsidR="006E70AF" w:rsidRPr="00FB0E7E" w:rsidRDefault="006E70AF" w:rsidP="00035731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599  Contemporary Developments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70AF" w:rsidRPr="00035731" w:rsidRDefault="006E70AF" w:rsidP="006E70AF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 xml:space="preserve">Examines recent trends and investigations in a selected area. Pass-Fail or letter grade, depending on department policy. </w:t>
            </w:r>
            <w:r w:rsidRPr="00035731">
              <w:rPr>
                <w:rFonts w:ascii="Tw Cen MT" w:eastAsia="Times New Roman" w:hAnsi="Tw Cen MT" w:cs="Times New Roman"/>
                <w:i/>
                <w:iCs/>
                <w:sz w:val="16"/>
                <w:szCs w:val="18"/>
              </w:rPr>
              <w:t>A specific topic may be offered under this course line no more than three times.</w:t>
            </w:r>
          </w:p>
        </w:tc>
      </w:tr>
      <w:tr w:rsidR="006E70AF" w:rsidRPr="00035731" w:rsidTr="00FB0E7E">
        <w:tc>
          <w:tcPr>
            <w:tcW w:w="3510" w:type="dxa"/>
            <w:shd w:val="clear" w:color="auto" w:fill="auto"/>
          </w:tcPr>
          <w:p w:rsidR="00035731" w:rsidRPr="00FB0E7E" w:rsidRDefault="006E70AF" w:rsidP="00035731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 xml:space="preserve">687  Professional Development Seminar  </w:t>
            </w:r>
          </w:p>
          <w:p w:rsidR="006E70AF" w:rsidRPr="00FB0E7E" w:rsidRDefault="006E70AF" w:rsidP="00035731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70AF" w:rsidRPr="00035731" w:rsidRDefault="006E70AF" w:rsidP="006E70AF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>Designed to assist in preparing you for entry into your professional arena. Pass-Fail or letter grade, depending on department policy.</w:t>
            </w:r>
          </w:p>
        </w:tc>
      </w:tr>
      <w:tr w:rsidR="006E70AF" w:rsidRPr="00035731" w:rsidTr="00FB0E7E">
        <w:tc>
          <w:tcPr>
            <w:tcW w:w="3510" w:type="dxa"/>
          </w:tcPr>
          <w:p w:rsidR="006E70AF" w:rsidRPr="00FB0E7E" w:rsidRDefault="006E70AF" w:rsidP="006E70AF">
            <w:pPr>
              <w:rPr>
                <w:rFonts w:ascii="Tw Cen MT" w:hAnsi="Tw Cen MT"/>
                <w:b/>
                <w:sz w:val="19"/>
                <w:szCs w:val="19"/>
              </w:rPr>
            </w:pPr>
            <w:r w:rsidRPr="00FB0E7E">
              <w:rPr>
                <w:rFonts w:ascii="Tw Cen MT" w:hAnsi="Tw Cen MT"/>
                <w:b/>
                <w:sz w:val="19"/>
                <w:szCs w:val="19"/>
              </w:rPr>
              <w:t>698  Graduate Seminar  (1-3)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70AF" w:rsidRPr="00035731" w:rsidRDefault="006E70AF" w:rsidP="006E70AF">
            <w:pPr>
              <w:rPr>
                <w:rFonts w:ascii="Tw Cen MT" w:eastAsia="Times New Roman" w:hAnsi="Tw Cen MT" w:cs="Times New Roman"/>
                <w:sz w:val="16"/>
                <w:szCs w:val="18"/>
              </w:rPr>
            </w:pPr>
            <w:r w:rsidRPr="00035731">
              <w:rPr>
                <w:rFonts w:ascii="Tw Cen MT" w:eastAsia="Times New Roman" w:hAnsi="Tw Cen MT" w:cs="Times New Roman"/>
                <w:sz w:val="16"/>
                <w:szCs w:val="18"/>
              </w:rPr>
              <w:t>Reading and discussion on selected advanced topics. Pass-Fail or letter grade, depending on department policy.</w:t>
            </w:r>
          </w:p>
        </w:tc>
      </w:tr>
    </w:tbl>
    <w:p w:rsidR="006E70AF" w:rsidRDefault="006E70AF" w:rsidP="00410E52">
      <w:pPr>
        <w:rPr>
          <w:sz w:val="10"/>
        </w:rPr>
      </w:pPr>
    </w:p>
    <w:sectPr w:rsidR="006E70AF" w:rsidSect="00AF0983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5B"/>
    <w:rsid w:val="00024E5B"/>
    <w:rsid w:val="000268B5"/>
    <w:rsid w:val="00035731"/>
    <w:rsid w:val="00086ECC"/>
    <w:rsid w:val="00093FAA"/>
    <w:rsid w:val="000F21A0"/>
    <w:rsid w:val="001127BE"/>
    <w:rsid w:val="001B7B8C"/>
    <w:rsid w:val="001D00DF"/>
    <w:rsid w:val="001D7022"/>
    <w:rsid w:val="002637FE"/>
    <w:rsid w:val="002A5840"/>
    <w:rsid w:val="002A6022"/>
    <w:rsid w:val="003E2935"/>
    <w:rsid w:val="00410E52"/>
    <w:rsid w:val="00422CE1"/>
    <w:rsid w:val="00444426"/>
    <w:rsid w:val="0047224D"/>
    <w:rsid w:val="00496820"/>
    <w:rsid w:val="0049749F"/>
    <w:rsid w:val="004A0051"/>
    <w:rsid w:val="004C7F2E"/>
    <w:rsid w:val="00590473"/>
    <w:rsid w:val="006041E3"/>
    <w:rsid w:val="00604DC9"/>
    <w:rsid w:val="00673C17"/>
    <w:rsid w:val="006C06B6"/>
    <w:rsid w:val="006E70AF"/>
    <w:rsid w:val="00700164"/>
    <w:rsid w:val="007E0372"/>
    <w:rsid w:val="00824E1C"/>
    <w:rsid w:val="009C1F5B"/>
    <w:rsid w:val="00A460E2"/>
    <w:rsid w:val="00A5642B"/>
    <w:rsid w:val="00A74DFE"/>
    <w:rsid w:val="00AF0983"/>
    <w:rsid w:val="00B04EE4"/>
    <w:rsid w:val="00B168DF"/>
    <w:rsid w:val="00B57C7A"/>
    <w:rsid w:val="00BD7603"/>
    <w:rsid w:val="00BE4814"/>
    <w:rsid w:val="00C02585"/>
    <w:rsid w:val="00D609CA"/>
    <w:rsid w:val="00E24364"/>
    <w:rsid w:val="00EB444A"/>
    <w:rsid w:val="00EF151B"/>
    <w:rsid w:val="00F6448B"/>
    <w:rsid w:val="00FB0E7E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472"/>
  <w15:chartTrackingRefBased/>
  <w15:docId w15:val="{B7B984CD-B291-4633-A67F-5CC85E4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1F5B"/>
    <w:rPr>
      <w:i/>
      <w:iCs/>
    </w:rPr>
  </w:style>
  <w:style w:type="paragraph" w:styleId="NormalWeb">
    <w:name w:val="Normal (Web)"/>
    <w:basedOn w:val="Normal"/>
    <w:uiPriority w:val="99"/>
    <w:unhideWhenUsed/>
    <w:rsid w:val="009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F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70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4</cp:revision>
  <cp:lastPrinted>2019-11-04T19:39:00Z</cp:lastPrinted>
  <dcterms:created xsi:type="dcterms:W3CDTF">2020-02-07T21:37:00Z</dcterms:created>
  <dcterms:modified xsi:type="dcterms:W3CDTF">2020-02-07T21:46:00Z</dcterms:modified>
</cp:coreProperties>
</file>