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A" w:rsidRPr="003242D7" w:rsidRDefault="00B439CB" w:rsidP="00581247">
      <w:pPr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 w:rsidRPr="003242D7">
        <w:rPr>
          <w:b/>
          <w:sz w:val="22"/>
          <w:szCs w:val="22"/>
        </w:rPr>
        <w:t xml:space="preserve">University Assessment Committee </w:t>
      </w:r>
      <w:r w:rsidR="006E00C4" w:rsidRPr="003242D7">
        <w:rPr>
          <w:b/>
          <w:sz w:val="22"/>
          <w:szCs w:val="22"/>
        </w:rPr>
        <w:t>MINUTES</w:t>
      </w:r>
    </w:p>
    <w:p w:rsidR="00DB1CA5" w:rsidRPr="003242D7" w:rsidRDefault="00603F99" w:rsidP="00581247">
      <w:pPr>
        <w:spacing w:after="0"/>
        <w:jc w:val="center"/>
        <w:rPr>
          <w:b/>
          <w:sz w:val="22"/>
          <w:szCs w:val="22"/>
        </w:rPr>
      </w:pPr>
      <w:r w:rsidRPr="003242D7">
        <w:rPr>
          <w:b/>
          <w:sz w:val="22"/>
          <w:szCs w:val="22"/>
        </w:rPr>
        <w:t>December 7</w:t>
      </w:r>
      <w:r w:rsidR="00DB1CA5" w:rsidRPr="003242D7">
        <w:rPr>
          <w:b/>
          <w:sz w:val="22"/>
          <w:szCs w:val="22"/>
        </w:rPr>
        <w:t xml:space="preserve">, 2012, </w:t>
      </w:r>
      <w:r w:rsidR="00C94DDC" w:rsidRPr="003242D7">
        <w:rPr>
          <w:b/>
          <w:sz w:val="22"/>
          <w:szCs w:val="22"/>
        </w:rPr>
        <w:t>1:30</w:t>
      </w:r>
      <w:r w:rsidR="00DB1CA5" w:rsidRPr="003242D7">
        <w:rPr>
          <w:b/>
          <w:sz w:val="22"/>
          <w:szCs w:val="22"/>
        </w:rPr>
        <w:t xml:space="preserve"> – 3pm</w:t>
      </w:r>
    </w:p>
    <w:p w:rsidR="00EA5AFB" w:rsidRPr="003242D7" w:rsidRDefault="00311A6B" w:rsidP="006D2D75">
      <w:pPr>
        <w:spacing w:after="0"/>
        <w:jc w:val="center"/>
        <w:rPr>
          <w:sz w:val="22"/>
          <w:szCs w:val="22"/>
        </w:rPr>
      </w:pPr>
      <w:r w:rsidRPr="003242D7">
        <w:rPr>
          <w:sz w:val="22"/>
          <w:szCs w:val="22"/>
        </w:rPr>
        <w:t>Science Lab Facility, Rm. 111</w:t>
      </w:r>
    </w:p>
    <w:p w:rsidR="00EA5AFB" w:rsidRPr="003242D7" w:rsidRDefault="00EA5AFB" w:rsidP="00311A6B">
      <w:pPr>
        <w:spacing w:after="0"/>
        <w:jc w:val="center"/>
        <w:rPr>
          <w:sz w:val="22"/>
          <w:szCs w:val="22"/>
        </w:rPr>
      </w:pPr>
    </w:p>
    <w:p w:rsidR="00142FCC" w:rsidRPr="003242D7" w:rsidRDefault="00142FCC" w:rsidP="00EA5AFB">
      <w:pPr>
        <w:spacing w:after="0"/>
        <w:rPr>
          <w:rFonts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A307BF" w:rsidRPr="003242D7" w:rsidTr="0039502C"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Present – voting members</w:t>
            </w:r>
          </w:p>
        </w:tc>
        <w:tc>
          <w:tcPr>
            <w:tcW w:w="3384" w:type="dxa"/>
          </w:tcPr>
          <w:p w:rsidR="00A307BF" w:rsidRPr="003242D7" w:rsidRDefault="00A307BF" w:rsidP="00A307BF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Present – ex officio members</w:t>
            </w:r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Absent</w:t>
            </w:r>
          </w:p>
        </w:tc>
      </w:tr>
      <w:tr w:rsidR="00A307BF" w:rsidRPr="003242D7" w:rsidTr="0039502C"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Allen Saunders</w:t>
            </w:r>
          </w:p>
        </w:tc>
        <w:tc>
          <w:tcPr>
            <w:tcW w:w="3384" w:type="dxa"/>
          </w:tcPr>
          <w:p w:rsidR="00A307BF" w:rsidRPr="003242D7" w:rsidRDefault="00A3766A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K. Laurie Dickson</w:t>
            </w:r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Krista Rodin</w:t>
            </w:r>
            <w:r w:rsidR="00A3766A" w:rsidRPr="003242D7">
              <w:rPr>
                <w:rFonts w:cs="Tahoma"/>
                <w:sz w:val="22"/>
                <w:szCs w:val="22"/>
              </w:rPr>
              <w:t>, voting</w:t>
            </w: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proofErr w:type="spellStart"/>
            <w:r w:rsidRPr="003242D7">
              <w:rPr>
                <w:sz w:val="22"/>
                <w:szCs w:val="22"/>
              </w:rPr>
              <w:t>Yuly</w:t>
            </w:r>
            <w:proofErr w:type="spellEnd"/>
            <w:r w:rsidRPr="003242D7">
              <w:rPr>
                <w:sz w:val="22"/>
                <w:szCs w:val="22"/>
              </w:rPr>
              <w:t xml:space="preserve"> </w:t>
            </w:r>
            <w:proofErr w:type="spellStart"/>
            <w:r w:rsidRPr="003242D7">
              <w:rPr>
                <w:sz w:val="22"/>
                <w:szCs w:val="22"/>
              </w:rPr>
              <w:t>Asencion</w:t>
            </w:r>
            <w:proofErr w:type="spellEnd"/>
            <w:r w:rsidRPr="003242D7">
              <w:rPr>
                <w:sz w:val="22"/>
                <w:szCs w:val="22"/>
              </w:rPr>
              <w:t>-Delaney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Melinda Treml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Sue Pieper, ex officio</w:t>
            </w: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Vicki Ross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proofErr w:type="spellStart"/>
            <w:r w:rsidRPr="003242D7">
              <w:rPr>
                <w:sz w:val="22"/>
                <w:szCs w:val="22"/>
              </w:rPr>
              <w:t>Gae</w:t>
            </w:r>
            <w:proofErr w:type="spellEnd"/>
            <w:r w:rsidRPr="003242D7">
              <w:rPr>
                <w:sz w:val="22"/>
                <w:szCs w:val="22"/>
              </w:rPr>
              <w:t xml:space="preserve"> Johnson for Gerald Wood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Patrick Deegan, ex officio</w:t>
            </w: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Sharon Cardenas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Cynthia Conn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 xml:space="preserve">Margot </w:t>
            </w:r>
            <w:proofErr w:type="spellStart"/>
            <w:r w:rsidRPr="003242D7">
              <w:rPr>
                <w:sz w:val="22"/>
                <w:szCs w:val="22"/>
              </w:rPr>
              <w:t>Saltonstall</w:t>
            </w:r>
            <w:proofErr w:type="spellEnd"/>
            <w:r w:rsidRPr="003242D7">
              <w:rPr>
                <w:sz w:val="22"/>
                <w:szCs w:val="22"/>
              </w:rPr>
              <w:t>, ex officio</w:t>
            </w: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Bruce Fox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Karen Pugliesi, ex officio</w:t>
            </w:r>
          </w:p>
        </w:tc>
      </w:tr>
      <w:tr w:rsidR="00A307BF" w:rsidRPr="003242D7" w:rsidTr="0039502C"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  <w:proofErr w:type="spellStart"/>
            <w:r w:rsidRPr="003242D7">
              <w:rPr>
                <w:rFonts w:eastAsia="Times New Roman" w:cs="Times New Roman"/>
                <w:sz w:val="22"/>
                <w:szCs w:val="22"/>
                <w:lang w:eastAsia="en-US"/>
              </w:rPr>
              <w:t>Niranjan</w:t>
            </w:r>
            <w:proofErr w:type="spellEnd"/>
            <w:r w:rsidRPr="003242D7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42D7">
              <w:rPr>
                <w:rFonts w:eastAsia="Times New Roman" w:cs="Times New Roman"/>
                <w:sz w:val="22"/>
                <w:szCs w:val="22"/>
                <w:lang w:eastAsia="en-US"/>
              </w:rPr>
              <w:t>Venkatraman</w:t>
            </w:r>
            <w:proofErr w:type="spellEnd"/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Kathy Hildebrand</w:t>
            </w:r>
            <w:r w:rsidR="0039502C" w:rsidRPr="003242D7">
              <w:rPr>
                <w:sz w:val="22"/>
                <w:szCs w:val="22"/>
              </w:rPr>
              <w:t>, ex officio</w:t>
            </w:r>
          </w:p>
        </w:tc>
      </w:tr>
      <w:tr w:rsidR="00A307BF" w:rsidRPr="003242D7" w:rsidTr="0039502C"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Kathee Rose</w:t>
            </w:r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 xml:space="preserve"> </w:t>
            </w:r>
          </w:p>
        </w:tc>
      </w:tr>
      <w:tr w:rsidR="00A307BF" w:rsidRPr="003242D7" w:rsidTr="0039502C">
        <w:tc>
          <w:tcPr>
            <w:tcW w:w="3384" w:type="dxa"/>
          </w:tcPr>
          <w:p w:rsidR="00A307BF" w:rsidRPr="003242D7" w:rsidRDefault="00A3766A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Rob Till</w:t>
            </w:r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</w:p>
        </w:tc>
      </w:tr>
      <w:tr w:rsidR="00A307BF" w:rsidRPr="003242D7" w:rsidTr="0039502C">
        <w:tc>
          <w:tcPr>
            <w:tcW w:w="3384" w:type="dxa"/>
          </w:tcPr>
          <w:p w:rsidR="00A307BF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Laura Crouch, by phone</w:t>
            </w:r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A307BF" w:rsidRPr="003242D7" w:rsidRDefault="00A307BF" w:rsidP="00EA5AFB">
            <w:pPr>
              <w:rPr>
                <w:sz w:val="22"/>
                <w:szCs w:val="22"/>
              </w:rPr>
            </w:pP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>Marianne Nielsen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Joe Anderson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>Ding Du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sz w:val="22"/>
                <w:szCs w:val="22"/>
              </w:rPr>
              <w:t xml:space="preserve">Peter </w:t>
            </w:r>
            <w:proofErr w:type="spellStart"/>
            <w:r w:rsidRPr="003242D7">
              <w:rPr>
                <w:sz w:val="22"/>
                <w:szCs w:val="22"/>
              </w:rPr>
              <w:t>Mangan</w:t>
            </w:r>
            <w:proofErr w:type="spellEnd"/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r w:rsidRPr="003242D7">
              <w:rPr>
                <w:rFonts w:cs="Tahoma"/>
                <w:sz w:val="22"/>
                <w:szCs w:val="22"/>
              </w:rPr>
              <w:t xml:space="preserve">Julia </w:t>
            </w:r>
            <w:proofErr w:type="spellStart"/>
            <w:r w:rsidRPr="003242D7">
              <w:rPr>
                <w:rFonts w:cs="Tahoma"/>
                <w:sz w:val="22"/>
                <w:szCs w:val="22"/>
              </w:rPr>
              <w:t>Ragonese-Barwell</w:t>
            </w:r>
            <w:proofErr w:type="spellEnd"/>
            <w:r w:rsidRPr="003242D7">
              <w:rPr>
                <w:sz w:val="22"/>
                <w:szCs w:val="22"/>
              </w:rPr>
              <w:t>, by phone</w:t>
            </w: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</w:tr>
      <w:tr w:rsidR="0039502C" w:rsidRPr="003242D7" w:rsidTr="0039502C"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  <w:proofErr w:type="spellStart"/>
            <w:r w:rsidRPr="003242D7">
              <w:rPr>
                <w:sz w:val="22"/>
                <w:szCs w:val="22"/>
              </w:rPr>
              <w:t>Dierdra</w:t>
            </w:r>
            <w:proofErr w:type="spellEnd"/>
            <w:r w:rsidRPr="003242D7">
              <w:rPr>
                <w:sz w:val="22"/>
                <w:szCs w:val="22"/>
              </w:rPr>
              <w:t xml:space="preserve"> </w:t>
            </w:r>
            <w:proofErr w:type="spellStart"/>
            <w:r w:rsidRPr="003242D7">
              <w:rPr>
                <w:sz w:val="22"/>
                <w:szCs w:val="22"/>
              </w:rPr>
              <w:t>Bycura</w:t>
            </w:r>
            <w:proofErr w:type="spellEnd"/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39502C" w:rsidRPr="003242D7" w:rsidRDefault="0039502C" w:rsidP="00EA5AFB">
            <w:pPr>
              <w:rPr>
                <w:sz w:val="22"/>
                <w:szCs w:val="22"/>
              </w:rPr>
            </w:pPr>
          </w:p>
        </w:tc>
      </w:tr>
    </w:tbl>
    <w:p w:rsidR="00BB6661" w:rsidRPr="003242D7" w:rsidRDefault="00BB6661" w:rsidP="00581247">
      <w:pPr>
        <w:spacing w:after="0"/>
        <w:rPr>
          <w:sz w:val="22"/>
          <w:szCs w:val="22"/>
        </w:rPr>
      </w:pPr>
    </w:p>
    <w:p w:rsidR="00CD5911" w:rsidRPr="003242D7" w:rsidRDefault="00C94DDC" w:rsidP="003242D7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Call to order</w:t>
      </w:r>
      <w:r w:rsidR="005B3B3A" w:rsidRPr="003242D7">
        <w:rPr>
          <w:sz w:val="22"/>
          <w:szCs w:val="22"/>
        </w:rPr>
        <w:t xml:space="preserve"> </w:t>
      </w:r>
      <w:r w:rsidR="00CD5911" w:rsidRPr="003242D7">
        <w:rPr>
          <w:sz w:val="22"/>
          <w:szCs w:val="22"/>
        </w:rPr>
        <w:t>–</w:t>
      </w:r>
      <w:r w:rsidR="005B3B3A" w:rsidRPr="003242D7">
        <w:rPr>
          <w:sz w:val="22"/>
          <w:szCs w:val="22"/>
        </w:rPr>
        <w:t xml:space="preserve"> Rob</w:t>
      </w:r>
      <w:r w:rsidR="003242D7" w:rsidRPr="003242D7">
        <w:rPr>
          <w:sz w:val="22"/>
          <w:szCs w:val="22"/>
        </w:rPr>
        <w:t xml:space="preserve"> Till: </w:t>
      </w:r>
      <w:r w:rsidR="00CD5911" w:rsidRPr="003242D7">
        <w:rPr>
          <w:sz w:val="22"/>
          <w:szCs w:val="22"/>
        </w:rPr>
        <w:t>At 1:30</w:t>
      </w:r>
    </w:p>
    <w:p w:rsidR="00D530E5" w:rsidRPr="003242D7" w:rsidRDefault="00D530E5" w:rsidP="00D530E5">
      <w:pPr>
        <w:pStyle w:val="ListParagraph"/>
        <w:spacing w:after="0"/>
        <w:ind w:left="630"/>
        <w:rPr>
          <w:sz w:val="22"/>
          <w:szCs w:val="22"/>
        </w:rPr>
      </w:pPr>
    </w:p>
    <w:p w:rsidR="0020496C" w:rsidRPr="003242D7" w:rsidRDefault="0020496C" w:rsidP="00F8709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UAC Business</w:t>
      </w:r>
    </w:p>
    <w:p w:rsidR="00C94DDC" w:rsidRPr="003242D7" w:rsidRDefault="00C94DDC" w:rsidP="00F87095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 xml:space="preserve">Approval of the UAC </w:t>
      </w:r>
      <w:r w:rsidR="009E0288" w:rsidRPr="003242D7">
        <w:rPr>
          <w:sz w:val="22"/>
          <w:szCs w:val="22"/>
        </w:rPr>
        <w:t>minutes from October 5</w:t>
      </w:r>
      <w:r w:rsidRPr="003242D7">
        <w:rPr>
          <w:sz w:val="22"/>
          <w:szCs w:val="22"/>
        </w:rPr>
        <w:t>, 2012 (see attached)</w:t>
      </w:r>
      <w:r w:rsidR="005B3B3A" w:rsidRPr="003242D7">
        <w:rPr>
          <w:sz w:val="22"/>
          <w:szCs w:val="22"/>
        </w:rPr>
        <w:t xml:space="preserve"> </w:t>
      </w:r>
      <w:r w:rsidR="00CD5911" w:rsidRPr="003242D7">
        <w:rPr>
          <w:sz w:val="22"/>
          <w:szCs w:val="22"/>
        </w:rPr>
        <w:t>–</w:t>
      </w:r>
      <w:r w:rsidR="005B3B3A" w:rsidRPr="003242D7">
        <w:rPr>
          <w:sz w:val="22"/>
          <w:szCs w:val="22"/>
        </w:rPr>
        <w:t xml:space="preserve"> Rob</w:t>
      </w:r>
    </w:p>
    <w:p w:rsidR="00CD5911" w:rsidRPr="003242D7" w:rsidRDefault="004F6DB1" w:rsidP="00CD5911">
      <w:pPr>
        <w:pStyle w:val="ListParagraph"/>
        <w:spacing w:after="0"/>
        <w:ind w:left="1440"/>
        <w:rPr>
          <w:sz w:val="22"/>
          <w:szCs w:val="22"/>
        </w:rPr>
      </w:pPr>
      <w:r w:rsidRPr="003242D7">
        <w:rPr>
          <w:sz w:val="22"/>
          <w:szCs w:val="22"/>
        </w:rPr>
        <w:t>*</w:t>
      </w:r>
      <w:r w:rsidR="00CD5911" w:rsidRPr="003242D7">
        <w:rPr>
          <w:sz w:val="22"/>
          <w:szCs w:val="22"/>
        </w:rPr>
        <w:t>Unanimous approval with minor changes.</w:t>
      </w:r>
    </w:p>
    <w:p w:rsidR="00581247" w:rsidRPr="003242D7" w:rsidRDefault="00581247" w:rsidP="00581247">
      <w:pPr>
        <w:spacing w:after="0"/>
        <w:rPr>
          <w:sz w:val="22"/>
          <w:szCs w:val="22"/>
        </w:rPr>
      </w:pPr>
    </w:p>
    <w:p w:rsidR="00AF4053" w:rsidRPr="003242D7" w:rsidRDefault="00311A6B" w:rsidP="006D2D7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 xml:space="preserve">Discussion on the revised </w:t>
      </w:r>
      <w:r w:rsidR="002F69B9" w:rsidRPr="003242D7">
        <w:rPr>
          <w:sz w:val="22"/>
          <w:szCs w:val="22"/>
        </w:rPr>
        <w:t xml:space="preserve">(Draft Version) </w:t>
      </w:r>
      <w:r w:rsidRPr="003242D7">
        <w:rPr>
          <w:sz w:val="22"/>
          <w:szCs w:val="22"/>
        </w:rPr>
        <w:t>Seal of Assessment criteria and procedures (see attached)</w:t>
      </w:r>
      <w:r w:rsidR="005B3B3A" w:rsidRPr="003242D7">
        <w:rPr>
          <w:sz w:val="22"/>
          <w:szCs w:val="22"/>
        </w:rPr>
        <w:t xml:space="preserve"> - </w:t>
      </w:r>
      <w:r w:rsidR="00CD5911" w:rsidRPr="003242D7">
        <w:rPr>
          <w:sz w:val="22"/>
          <w:szCs w:val="22"/>
        </w:rPr>
        <w:t xml:space="preserve">Presentation by </w:t>
      </w:r>
      <w:r w:rsidR="005B3B3A" w:rsidRPr="003242D7">
        <w:rPr>
          <w:sz w:val="22"/>
          <w:szCs w:val="22"/>
        </w:rPr>
        <w:t>Laurie</w:t>
      </w:r>
      <w:r w:rsidR="006D2D75" w:rsidRPr="003242D7">
        <w:rPr>
          <w:sz w:val="22"/>
          <w:szCs w:val="22"/>
        </w:rPr>
        <w:t xml:space="preserve"> Dickson – The Seal of Excellence incorporates distinguished efforts in the 3 phases of the assessment cycle and the Letters of Commendation will acknowledge distinguished efforts for specific aspects of assessment.</w:t>
      </w:r>
    </w:p>
    <w:p w:rsidR="006D2D75" w:rsidRPr="003242D7" w:rsidRDefault="00AF4053" w:rsidP="003242D7">
      <w:pPr>
        <w:pStyle w:val="ListParagraph"/>
        <w:spacing w:after="0"/>
        <w:ind w:left="630"/>
        <w:rPr>
          <w:sz w:val="22"/>
          <w:szCs w:val="22"/>
        </w:rPr>
      </w:pPr>
      <w:r w:rsidRPr="003242D7">
        <w:rPr>
          <w:sz w:val="22"/>
          <w:szCs w:val="22"/>
        </w:rPr>
        <w:tab/>
      </w:r>
      <w:r w:rsidRPr="003242D7">
        <w:rPr>
          <w:sz w:val="22"/>
          <w:szCs w:val="22"/>
        </w:rPr>
        <w:tab/>
      </w:r>
      <w:r w:rsidR="004F6DB1" w:rsidRPr="003242D7">
        <w:rPr>
          <w:sz w:val="22"/>
          <w:szCs w:val="22"/>
        </w:rPr>
        <w:t>*</w:t>
      </w:r>
      <w:r w:rsidRPr="003242D7">
        <w:rPr>
          <w:sz w:val="22"/>
          <w:szCs w:val="22"/>
        </w:rPr>
        <w:t xml:space="preserve">Approval of </w:t>
      </w:r>
      <w:r w:rsidR="00783089" w:rsidRPr="003242D7">
        <w:rPr>
          <w:sz w:val="22"/>
          <w:szCs w:val="22"/>
        </w:rPr>
        <w:t xml:space="preserve">Draft </w:t>
      </w:r>
      <w:r w:rsidRPr="003242D7">
        <w:rPr>
          <w:sz w:val="22"/>
          <w:szCs w:val="22"/>
        </w:rPr>
        <w:t xml:space="preserve">Seal Documents: </w:t>
      </w:r>
      <w:r w:rsidR="00AA133C" w:rsidRPr="003242D7">
        <w:rPr>
          <w:sz w:val="22"/>
          <w:szCs w:val="22"/>
        </w:rPr>
        <w:t>Unanimously</w:t>
      </w:r>
      <w:r w:rsidRPr="003242D7">
        <w:rPr>
          <w:sz w:val="22"/>
          <w:szCs w:val="22"/>
        </w:rPr>
        <w:t xml:space="preserve"> passed</w:t>
      </w:r>
    </w:p>
    <w:p w:rsidR="006D2D75" w:rsidRPr="003242D7" w:rsidRDefault="006D2D75" w:rsidP="006D2D75">
      <w:pPr>
        <w:pStyle w:val="ListParagraph"/>
        <w:spacing w:after="0"/>
        <w:ind w:left="630"/>
        <w:rPr>
          <w:sz w:val="22"/>
          <w:szCs w:val="22"/>
        </w:rPr>
      </w:pPr>
      <w:r w:rsidRPr="003242D7">
        <w:rPr>
          <w:sz w:val="22"/>
          <w:szCs w:val="22"/>
        </w:rPr>
        <w:t xml:space="preserve">Discussion points: </w:t>
      </w:r>
    </w:p>
    <w:p w:rsidR="006D2D75" w:rsidRPr="003242D7" w:rsidRDefault="006D2D75" w:rsidP="006D2D75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What will the annual reports look like for programs with external accreditation bodies?</w:t>
      </w:r>
    </w:p>
    <w:p w:rsidR="006D2D75" w:rsidRPr="003242D7" w:rsidRDefault="006D2D75" w:rsidP="006D2D75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UAC could give feedback to programs as they prepare for their accreditation reports.</w:t>
      </w:r>
    </w:p>
    <w:p w:rsidR="00F87095" w:rsidRPr="003242D7" w:rsidRDefault="00F87095" w:rsidP="00F87095">
      <w:pPr>
        <w:pStyle w:val="ListParagraph"/>
        <w:spacing w:after="0"/>
        <w:ind w:left="630"/>
        <w:rPr>
          <w:sz w:val="22"/>
          <w:szCs w:val="22"/>
        </w:rPr>
      </w:pPr>
    </w:p>
    <w:p w:rsidR="00C72C73" w:rsidRPr="003242D7" w:rsidRDefault="00BA0DEC" w:rsidP="00F8709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3242D7">
        <w:rPr>
          <w:rFonts w:eastAsia="Times New Roman" w:cs="Tahoma"/>
          <w:color w:val="000000"/>
          <w:sz w:val="22"/>
          <w:szCs w:val="22"/>
          <w:lang w:eastAsia="en-US"/>
        </w:rPr>
        <w:t>Update on</w:t>
      </w:r>
      <w:r w:rsidR="00C72C73" w:rsidRPr="003242D7">
        <w:rPr>
          <w:rFonts w:eastAsia="Times New Roman" w:cs="Tahoma"/>
          <w:color w:val="000000"/>
          <w:sz w:val="22"/>
          <w:szCs w:val="22"/>
          <w:lang w:eastAsia="en-US"/>
        </w:rPr>
        <w:t xml:space="preserve"> OCLDAA website</w:t>
      </w:r>
      <w:r w:rsidR="005B3B3A" w:rsidRPr="003242D7">
        <w:rPr>
          <w:rFonts w:eastAsia="Times New Roman" w:cs="Tahoma"/>
          <w:color w:val="000000"/>
          <w:sz w:val="22"/>
          <w:szCs w:val="22"/>
          <w:lang w:eastAsia="en-US"/>
        </w:rPr>
        <w:t xml:space="preserve"> </w:t>
      </w:r>
      <w:r w:rsidR="009B4628" w:rsidRPr="003242D7">
        <w:rPr>
          <w:sz w:val="22"/>
          <w:szCs w:val="22"/>
        </w:rPr>
        <w:t>–</w:t>
      </w:r>
      <w:r w:rsidR="005B3B3A" w:rsidRPr="003242D7">
        <w:rPr>
          <w:sz w:val="22"/>
          <w:szCs w:val="22"/>
        </w:rPr>
        <w:t xml:space="preserve"> Melinda</w:t>
      </w:r>
    </w:p>
    <w:p w:rsidR="009B4628" w:rsidRPr="003242D7" w:rsidRDefault="009B4628" w:rsidP="00D07AA3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Website update coming in January from Melinda</w:t>
      </w:r>
    </w:p>
    <w:p w:rsidR="005E560F" w:rsidRPr="003242D7" w:rsidRDefault="009B4628" w:rsidP="005E560F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Feedback from people on the new Assessment Report Template</w:t>
      </w:r>
      <w:r w:rsidR="005A3BCE" w:rsidRPr="003242D7">
        <w:rPr>
          <w:sz w:val="22"/>
          <w:szCs w:val="22"/>
        </w:rPr>
        <w:t xml:space="preserve"> </w:t>
      </w:r>
    </w:p>
    <w:p w:rsidR="005E560F" w:rsidRPr="003242D7" w:rsidRDefault="005E560F" w:rsidP="005E560F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M</w:t>
      </w:r>
      <w:r w:rsidR="00A579DB" w:rsidRPr="003242D7">
        <w:rPr>
          <w:sz w:val="22"/>
          <w:szCs w:val="22"/>
        </w:rPr>
        <w:t>ixed messages</w:t>
      </w:r>
      <w:r w:rsidR="000E4C0A" w:rsidRPr="003242D7">
        <w:rPr>
          <w:sz w:val="22"/>
          <w:szCs w:val="22"/>
        </w:rPr>
        <w:t xml:space="preserve"> between written and verbal</w:t>
      </w:r>
      <w:r w:rsidR="00A579DB" w:rsidRPr="003242D7">
        <w:rPr>
          <w:sz w:val="22"/>
          <w:szCs w:val="22"/>
        </w:rPr>
        <w:t xml:space="preserve"> </w:t>
      </w:r>
      <w:r w:rsidR="000E4C0A" w:rsidRPr="003242D7">
        <w:rPr>
          <w:sz w:val="22"/>
          <w:szCs w:val="22"/>
        </w:rPr>
        <w:t xml:space="preserve">instructions for the process. </w:t>
      </w:r>
    </w:p>
    <w:p w:rsidR="000E4C0A" w:rsidRPr="003242D7" w:rsidRDefault="000E4C0A" w:rsidP="005E560F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We need a friendlier message so there are flexible guidelines instead of “thou shalt” statements and perceptions</w:t>
      </w:r>
      <w:r w:rsidR="00AA133C" w:rsidRPr="003242D7">
        <w:rPr>
          <w:sz w:val="22"/>
          <w:szCs w:val="22"/>
        </w:rPr>
        <w:t xml:space="preserve"> – The revised Template introduction addresses these concerns</w:t>
      </w:r>
    </w:p>
    <w:p w:rsidR="003935A4" w:rsidRPr="003242D7" w:rsidRDefault="003935A4" w:rsidP="005E560F">
      <w:pPr>
        <w:pStyle w:val="ListParagraph"/>
        <w:numPr>
          <w:ilvl w:val="2"/>
          <w:numId w:val="6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 xml:space="preserve">Melinda will submit the incorporated comments </w:t>
      </w:r>
      <w:r w:rsidR="005E560F" w:rsidRPr="003242D7">
        <w:rPr>
          <w:sz w:val="22"/>
          <w:szCs w:val="22"/>
        </w:rPr>
        <w:t xml:space="preserve">into the document and website </w:t>
      </w:r>
      <w:r w:rsidRPr="003242D7">
        <w:rPr>
          <w:sz w:val="22"/>
          <w:szCs w:val="22"/>
        </w:rPr>
        <w:t>and invite the committee to give feedback</w:t>
      </w:r>
      <w:r w:rsidRPr="003242D7">
        <w:rPr>
          <w:sz w:val="22"/>
          <w:szCs w:val="22"/>
        </w:rPr>
        <w:tab/>
      </w:r>
    </w:p>
    <w:p w:rsidR="00F87095" w:rsidRPr="003242D7" w:rsidRDefault="00F87095" w:rsidP="00F87095">
      <w:pPr>
        <w:spacing w:after="0"/>
        <w:rPr>
          <w:sz w:val="22"/>
          <w:szCs w:val="22"/>
        </w:rPr>
      </w:pPr>
    </w:p>
    <w:p w:rsidR="00F87095" w:rsidRPr="003242D7" w:rsidRDefault="00C72C73" w:rsidP="00F8709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NCATE subcommittee update</w:t>
      </w:r>
      <w:r w:rsidR="005B3B3A" w:rsidRPr="003242D7">
        <w:rPr>
          <w:sz w:val="22"/>
          <w:szCs w:val="22"/>
        </w:rPr>
        <w:t xml:space="preserve"> – Sharon, Gerald, and </w:t>
      </w:r>
      <w:proofErr w:type="spellStart"/>
      <w:r w:rsidR="005B3B3A" w:rsidRPr="003242D7">
        <w:rPr>
          <w:sz w:val="22"/>
          <w:szCs w:val="22"/>
        </w:rPr>
        <w:t>Dierdra</w:t>
      </w:r>
      <w:proofErr w:type="spellEnd"/>
    </w:p>
    <w:p w:rsidR="004E3889" w:rsidRPr="003242D7" w:rsidRDefault="004E3889" w:rsidP="004E3889">
      <w:pPr>
        <w:pStyle w:val="ListParagraph"/>
        <w:spacing w:after="0"/>
        <w:ind w:left="630"/>
        <w:rPr>
          <w:sz w:val="22"/>
          <w:szCs w:val="22"/>
        </w:rPr>
      </w:pPr>
      <w:r w:rsidRPr="003242D7">
        <w:rPr>
          <w:sz w:val="22"/>
          <w:szCs w:val="22"/>
        </w:rPr>
        <w:tab/>
      </w:r>
      <w:r w:rsidRPr="003242D7">
        <w:rPr>
          <w:sz w:val="22"/>
          <w:szCs w:val="22"/>
        </w:rPr>
        <w:tab/>
      </w:r>
      <w:proofErr w:type="spellStart"/>
      <w:r w:rsidRPr="003242D7">
        <w:rPr>
          <w:sz w:val="22"/>
          <w:szCs w:val="22"/>
        </w:rPr>
        <w:t>Dierdra</w:t>
      </w:r>
      <w:proofErr w:type="spellEnd"/>
      <w:r w:rsidRPr="003242D7">
        <w:rPr>
          <w:sz w:val="22"/>
          <w:szCs w:val="22"/>
        </w:rPr>
        <w:t xml:space="preserve"> &amp; Sharon reporting</w:t>
      </w:r>
    </w:p>
    <w:p w:rsidR="004E3889" w:rsidRPr="003242D7" w:rsidRDefault="004E3889" w:rsidP="005E560F">
      <w:pPr>
        <w:pStyle w:val="ListParagraph"/>
        <w:numPr>
          <w:ilvl w:val="1"/>
          <w:numId w:val="7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Units getting over-burdened trying to do two repo</w:t>
      </w:r>
      <w:r w:rsidR="005E560F" w:rsidRPr="003242D7">
        <w:rPr>
          <w:sz w:val="22"/>
          <w:szCs w:val="22"/>
        </w:rPr>
        <w:t xml:space="preserve">rts, NCATE and annual reports </w:t>
      </w:r>
      <w:r w:rsidRPr="003242D7">
        <w:rPr>
          <w:sz w:val="22"/>
          <w:szCs w:val="22"/>
        </w:rPr>
        <w:t xml:space="preserve">for UAC. Produced some form(s) to blend the two reports: document </w:t>
      </w:r>
      <w:r w:rsidR="005E560F" w:rsidRPr="003242D7">
        <w:rPr>
          <w:sz w:val="22"/>
          <w:szCs w:val="22"/>
        </w:rPr>
        <w:t xml:space="preserve">to guide the </w:t>
      </w:r>
      <w:r w:rsidRPr="003242D7">
        <w:rPr>
          <w:sz w:val="22"/>
          <w:szCs w:val="22"/>
        </w:rPr>
        <w:lastRenderedPageBreak/>
        <w:t xml:space="preserve">SPA writers to produce the annual reports. </w:t>
      </w:r>
      <w:r w:rsidR="005E560F" w:rsidRPr="003242D7">
        <w:rPr>
          <w:sz w:val="22"/>
          <w:szCs w:val="22"/>
        </w:rPr>
        <w:t xml:space="preserve">Need to send the </w:t>
      </w:r>
      <w:r w:rsidRPr="003242D7">
        <w:rPr>
          <w:sz w:val="22"/>
          <w:szCs w:val="22"/>
        </w:rPr>
        <w:t xml:space="preserve">message </w:t>
      </w:r>
      <w:r w:rsidR="005E560F" w:rsidRPr="003242D7">
        <w:rPr>
          <w:sz w:val="22"/>
          <w:szCs w:val="22"/>
        </w:rPr>
        <w:t xml:space="preserve">about </w:t>
      </w:r>
      <w:r w:rsidRPr="003242D7">
        <w:rPr>
          <w:sz w:val="22"/>
          <w:szCs w:val="22"/>
        </w:rPr>
        <w:t>making it easier, takin</w:t>
      </w:r>
      <w:r w:rsidR="005E560F" w:rsidRPr="003242D7">
        <w:rPr>
          <w:sz w:val="22"/>
          <w:szCs w:val="22"/>
        </w:rPr>
        <w:t xml:space="preserve">g what they have and allowing </w:t>
      </w:r>
      <w:r w:rsidRPr="003242D7">
        <w:rPr>
          <w:sz w:val="22"/>
          <w:szCs w:val="22"/>
        </w:rPr>
        <w:t>them to plug it into the UAC process. Sub</w:t>
      </w:r>
      <w:r w:rsidR="005E560F" w:rsidRPr="003242D7">
        <w:rPr>
          <w:sz w:val="22"/>
          <w:szCs w:val="22"/>
        </w:rPr>
        <w:t xml:space="preserve">-committee will be reviewing </w:t>
      </w:r>
      <w:r w:rsidRPr="003242D7">
        <w:rPr>
          <w:sz w:val="22"/>
          <w:szCs w:val="22"/>
        </w:rPr>
        <w:t>feedback, and mapping the SPA reports on to the UAC rubric.</w:t>
      </w:r>
    </w:p>
    <w:p w:rsidR="001A151F" w:rsidRPr="003242D7" w:rsidRDefault="001A151F" w:rsidP="005E560F">
      <w:pPr>
        <w:pStyle w:val="ListParagraph"/>
        <w:numPr>
          <w:ilvl w:val="1"/>
          <w:numId w:val="7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Eventual goal is for anyone in UAC to be able to revie</w:t>
      </w:r>
      <w:r w:rsidR="005E560F" w:rsidRPr="003242D7">
        <w:rPr>
          <w:sz w:val="22"/>
          <w:szCs w:val="22"/>
        </w:rPr>
        <w:t xml:space="preserve">w any of the reports, whether the reports is </w:t>
      </w:r>
      <w:r w:rsidRPr="003242D7">
        <w:rPr>
          <w:sz w:val="22"/>
          <w:szCs w:val="22"/>
        </w:rPr>
        <w:t>produced for external accreditation bodies or not.</w:t>
      </w:r>
    </w:p>
    <w:p w:rsidR="005B3B3A" w:rsidRPr="003242D7" w:rsidRDefault="00842371" w:rsidP="003242D7">
      <w:pPr>
        <w:pStyle w:val="ListParagraph"/>
        <w:spacing w:after="0"/>
        <w:ind w:left="630"/>
        <w:rPr>
          <w:sz w:val="22"/>
          <w:szCs w:val="22"/>
        </w:rPr>
      </w:pPr>
      <w:r w:rsidRPr="003242D7">
        <w:rPr>
          <w:sz w:val="22"/>
          <w:szCs w:val="22"/>
        </w:rPr>
        <w:tab/>
      </w:r>
      <w:r w:rsidRPr="003242D7">
        <w:rPr>
          <w:sz w:val="22"/>
          <w:szCs w:val="22"/>
        </w:rPr>
        <w:tab/>
      </w:r>
    </w:p>
    <w:p w:rsidR="00C72C73" w:rsidRPr="003242D7" w:rsidRDefault="00C72C73" w:rsidP="00F8709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NAU Outcomes update</w:t>
      </w:r>
      <w:r w:rsidR="005B3B3A" w:rsidRPr="003242D7">
        <w:rPr>
          <w:sz w:val="22"/>
          <w:szCs w:val="22"/>
        </w:rPr>
        <w:t xml:space="preserve"> </w:t>
      </w:r>
      <w:r w:rsidR="00575C50" w:rsidRPr="003242D7">
        <w:rPr>
          <w:sz w:val="22"/>
          <w:szCs w:val="22"/>
        </w:rPr>
        <w:t>(see attached</w:t>
      </w:r>
      <w:r w:rsidR="006802D7" w:rsidRPr="003242D7">
        <w:rPr>
          <w:sz w:val="22"/>
          <w:szCs w:val="22"/>
        </w:rPr>
        <w:t xml:space="preserve"> University Learning Outcomes</w:t>
      </w:r>
      <w:r w:rsidR="00575C50" w:rsidRPr="003242D7">
        <w:rPr>
          <w:sz w:val="22"/>
          <w:szCs w:val="22"/>
        </w:rPr>
        <w:t xml:space="preserve">) </w:t>
      </w:r>
      <w:r w:rsidR="005B3B3A" w:rsidRPr="003242D7">
        <w:rPr>
          <w:sz w:val="22"/>
          <w:szCs w:val="22"/>
        </w:rPr>
        <w:t>- Bruce</w:t>
      </w:r>
    </w:p>
    <w:p w:rsidR="00842371" w:rsidRPr="003242D7" w:rsidRDefault="00842371" w:rsidP="003242D7">
      <w:pPr>
        <w:pStyle w:val="ListParagraph"/>
        <w:numPr>
          <w:ilvl w:val="1"/>
          <w:numId w:val="8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Initial idea came from UAC and moved to Liberal</w:t>
      </w:r>
      <w:r w:rsidR="003242D7" w:rsidRPr="003242D7">
        <w:rPr>
          <w:sz w:val="22"/>
          <w:szCs w:val="22"/>
        </w:rPr>
        <w:t xml:space="preserve"> Studies Committee, developed </w:t>
      </w:r>
      <w:r w:rsidRPr="003242D7">
        <w:rPr>
          <w:sz w:val="22"/>
          <w:szCs w:val="22"/>
        </w:rPr>
        <w:t>over the summer (2012).</w:t>
      </w:r>
      <w:r w:rsidR="006802D7" w:rsidRPr="003242D7">
        <w:rPr>
          <w:sz w:val="22"/>
          <w:szCs w:val="22"/>
        </w:rPr>
        <w:t xml:space="preserve"> Goal wa</w:t>
      </w:r>
      <w:r w:rsidRPr="003242D7">
        <w:rPr>
          <w:sz w:val="22"/>
          <w:szCs w:val="22"/>
        </w:rPr>
        <w:t>s to pull together e</w:t>
      </w:r>
      <w:r w:rsidR="003242D7" w:rsidRPr="003242D7">
        <w:rPr>
          <w:sz w:val="22"/>
          <w:szCs w:val="22"/>
        </w:rPr>
        <w:t xml:space="preserve">xisting outcomes, rather than </w:t>
      </w:r>
      <w:r w:rsidRPr="003242D7">
        <w:rPr>
          <w:sz w:val="22"/>
          <w:szCs w:val="22"/>
        </w:rPr>
        <w:t xml:space="preserve">build new ones. Revised to current version. </w:t>
      </w:r>
    </w:p>
    <w:p w:rsidR="006802D7" w:rsidRPr="003242D7" w:rsidRDefault="003242D7" w:rsidP="003242D7">
      <w:pPr>
        <w:pStyle w:val="ListParagraph"/>
        <w:numPr>
          <w:ilvl w:val="1"/>
          <w:numId w:val="8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 xml:space="preserve">University Learning Outcomes were </w:t>
      </w:r>
      <w:r w:rsidR="006802D7" w:rsidRPr="003242D7">
        <w:rPr>
          <w:sz w:val="22"/>
          <w:szCs w:val="22"/>
        </w:rPr>
        <w:t>approved by Faculty Senate</w:t>
      </w:r>
      <w:r w:rsidRPr="003242D7">
        <w:rPr>
          <w:sz w:val="22"/>
          <w:szCs w:val="22"/>
        </w:rPr>
        <w:t xml:space="preserve"> in December 2012</w:t>
      </w:r>
    </w:p>
    <w:p w:rsidR="00F56E47" w:rsidRPr="003242D7" w:rsidRDefault="003242D7" w:rsidP="003242D7">
      <w:pPr>
        <w:pStyle w:val="ListParagraph"/>
        <w:numPr>
          <w:ilvl w:val="1"/>
          <w:numId w:val="8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Discussion revolved around the following questions: Do the University Learning Outcomes</w:t>
      </w:r>
      <w:r w:rsidR="006802D7" w:rsidRPr="003242D7">
        <w:rPr>
          <w:sz w:val="22"/>
          <w:szCs w:val="22"/>
        </w:rPr>
        <w:t xml:space="preserve"> need to be marketed to the faculty so it do</w:t>
      </w:r>
      <w:r w:rsidRPr="003242D7">
        <w:rPr>
          <w:sz w:val="22"/>
          <w:szCs w:val="22"/>
        </w:rPr>
        <w:t xml:space="preserve">esn’t appear to be a top down </w:t>
      </w:r>
      <w:r w:rsidR="006802D7" w:rsidRPr="003242D7">
        <w:rPr>
          <w:sz w:val="22"/>
          <w:szCs w:val="22"/>
        </w:rPr>
        <w:t>process?</w:t>
      </w:r>
      <w:r w:rsidR="00F56E47" w:rsidRPr="003242D7">
        <w:rPr>
          <w:sz w:val="22"/>
          <w:szCs w:val="22"/>
        </w:rPr>
        <w:t xml:space="preserve"> Is there a perception that faculty weren’t involved in this process?</w:t>
      </w:r>
      <w:r w:rsidRPr="003242D7">
        <w:rPr>
          <w:sz w:val="22"/>
          <w:szCs w:val="22"/>
        </w:rPr>
        <w:t xml:space="preserve"> </w:t>
      </w:r>
      <w:r w:rsidR="00F56E47" w:rsidRPr="003242D7">
        <w:rPr>
          <w:sz w:val="22"/>
          <w:szCs w:val="22"/>
        </w:rPr>
        <w:t>How to change this perception…?</w:t>
      </w:r>
      <w:r w:rsidR="00611A4E" w:rsidRPr="003242D7">
        <w:rPr>
          <w:sz w:val="22"/>
          <w:szCs w:val="22"/>
        </w:rPr>
        <w:t xml:space="preserve"> How to present it to sell it best to faculty?</w:t>
      </w:r>
      <w:r w:rsidRPr="003242D7">
        <w:rPr>
          <w:sz w:val="22"/>
          <w:szCs w:val="22"/>
        </w:rPr>
        <w:t xml:space="preserve"> Where does the UCC fit into this discussion?</w:t>
      </w:r>
    </w:p>
    <w:p w:rsidR="00611A4E" w:rsidRPr="003242D7" w:rsidRDefault="00611A4E" w:rsidP="003242D7">
      <w:pPr>
        <w:pStyle w:val="ListParagraph"/>
        <w:numPr>
          <w:ilvl w:val="2"/>
          <w:numId w:val="8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“This information was gathered from the faculty…” Peter’s suggestion.</w:t>
      </w:r>
    </w:p>
    <w:p w:rsidR="00B14714" w:rsidRPr="003242D7" w:rsidRDefault="0088218E" w:rsidP="003242D7">
      <w:pPr>
        <w:pStyle w:val="ListParagraph"/>
        <w:numPr>
          <w:ilvl w:val="1"/>
          <w:numId w:val="8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 xml:space="preserve">Need program-level responsibility for SLOs and assessment, with resources </w:t>
      </w:r>
      <w:r w:rsidRPr="003242D7">
        <w:rPr>
          <w:sz w:val="22"/>
          <w:szCs w:val="22"/>
        </w:rPr>
        <w:tab/>
      </w:r>
      <w:r w:rsidRPr="003242D7">
        <w:rPr>
          <w:sz w:val="22"/>
          <w:szCs w:val="22"/>
        </w:rPr>
        <w:tab/>
      </w:r>
      <w:r w:rsidRPr="003242D7">
        <w:rPr>
          <w:sz w:val="22"/>
          <w:szCs w:val="22"/>
        </w:rPr>
        <w:tab/>
        <w:t>available from other sources to facilitate the process.</w:t>
      </w:r>
    </w:p>
    <w:p w:rsidR="00F87095" w:rsidRPr="003242D7" w:rsidRDefault="006802D7" w:rsidP="00F87095">
      <w:p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ab/>
      </w:r>
      <w:r w:rsidRPr="003242D7">
        <w:rPr>
          <w:sz w:val="22"/>
          <w:szCs w:val="22"/>
        </w:rPr>
        <w:tab/>
      </w:r>
    </w:p>
    <w:p w:rsidR="00F87095" w:rsidRPr="003242D7" w:rsidRDefault="003242D7" w:rsidP="003242D7">
      <w:pPr>
        <w:spacing w:after="0"/>
        <w:ind w:left="270"/>
        <w:rPr>
          <w:sz w:val="22"/>
          <w:szCs w:val="22"/>
        </w:rPr>
      </w:pPr>
      <w:r w:rsidRPr="003242D7">
        <w:rPr>
          <w:sz w:val="22"/>
          <w:szCs w:val="22"/>
        </w:rPr>
        <w:t xml:space="preserve">7. </w:t>
      </w:r>
      <w:r w:rsidR="00F87095" w:rsidRPr="003242D7">
        <w:rPr>
          <w:sz w:val="22"/>
          <w:szCs w:val="22"/>
        </w:rPr>
        <w:t>Learning outcomes collection efforts</w:t>
      </w:r>
      <w:r w:rsidR="00D04940" w:rsidRPr="003242D7">
        <w:rPr>
          <w:sz w:val="22"/>
          <w:szCs w:val="22"/>
        </w:rPr>
        <w:t xml:space="preserve">  - Rob</w:t>
      </w:r>
      <w:r w:rsidRPr="003242D7">
        <w:rPr>
          <w:sz w:val="22"/>
          <w:szCs w:val="22"/>
        </w:rPr>
        <w:t xml:space="preserve"> let the UAC know that the chairs of the UAC, UCC, UGC, and Liberal Studies proposed that the Senate charge the UCC/UGC with the collection of degree program-level outcomes and that the outcomes be displayed. Rob suggested that members of the committee take a look at these sites to see the range of approaches available.</w:t>
      </w:r>
    </w:p>
    <w:p w:rsidR="00F87095" w:rsidRPr="003242D7" w:rsidRDefault="00F87095" w:rsidP="00F87095">
      <w:pPr>
        <w:pStyle w:val="ListParagraph"/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 xml:space="preserve">Sample webpages: </w:t>
      </w:r>
    </w:p>
    <w:p w:rsidR="00F87095" w:rsidRPr="003242D7" w:rsidRDefault="003902BA" w:rsidP="00F87095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hyperlink r:id="rId8" w:history="1">
        <w:r w:rsidR="00F87095" w:rsidRPr="003242D7">
          <w:rPr>
            <w:sz w:val="22"/>
            <w:szCs w:val="22"/>
          </w:rPr>
          <w:t>https://learningoutcomes.byu.edu/</w:t>
        </w:r>
      </w:hyperlink>
    </w:p>
    <w:p w:rsidR="00F87095" w:rsidRPr="003242D7" w:rsidRDefault="003902BA" w:rsidP="00F87095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hyperlink r:id="rId9" w:history="1">
        <w:r w:rsidR="00F87095" w:rsidRPr="003242D7">
          <w:rPr>
            <w:sz w:val="22"/>
            <w:szCs w:val="22"/>
          </w:rPr>
          <w:t>http://www.assessment.uci.edu/assess/outcomes.asp</w:t>
        </w:r>
      </w:hyperlink>
    </w:p>
    <w:p w:rsidR="00F87095" w:rsidRPr="003242D7" w:rsidRDefault="003902BA" w:rsidP="00F87095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hyperlink r:id="rId10" w:history="1">
        <w:r w:rsidR="00F87095" w:rsidRPr="003242D7">
          <w:rPr>
            <w:sz w:val="22"/>
            <w:szCs w:val="22"/>
          </w:rPr>
          <w:t>http://www.bucknell.edu/x50035.xml</w:t>
        </w:r>
      </w:hyperlink>
    </w:p>
    <w:p w:rsidR="004F6DB1" w:rsidRPr="003242D7" w:rsidRDefault="004F6DB1" w:rsidP="004F6DB1">
      <w:pPr>
        <w:spacing w:after="0"/>
        <w:ind w:left="630"/>
        <w:rPr>
          <w:sz w:val="22"/>
          <w:szCs w:val="22"/>
        </w:rPr>
      </w:pPr>
    </w:p>
    <w:p w:rsidR="00581247" w:rsidRPr="003242D7" w:rsidRDefault="00D0482B" w:rsidP="00F87095">
      <w:pPr>
        <w:pStyle w:val="ListParagraph"/>
        <w:numPr>
          <w:ilvl w:val="0"/>
          <w:numId w:val="1"/>
        </w:numPr>
        <w:spacing w:after="0"/>
        <w:rPr>
          <w:i/>
          <w:sz w:val="22"/>
          <w:szCs w:val="22"/>
        </w:rPr>
      </w:pPr>
      <w:r>
        <w:rPr>
          <w:sz w:val="22"/>
          <w:szCs w:val="22"/>
        </w:rPr>
        <w:t>REFERRED TO NEXT MEETING</w:t>
      </w:r>
      <w:r w:rsidR="004F6DB1" w:rsidRPr="003242D7">
        <w:rPr>
          <w:sz w:val="22"/>
          <w:szCs w:val="22"/>
        </w:rPr>
        <w:t xml:space="preserve">: </w:t>
      </w:r>
      <w:r w:rsidR="0050471F" w:rsidRPr="003242D7">
        <w:rPr>
          <w:i/>
          <w:sz w:val="22"/>
          <w:szCs w:val="22"/>
        </w:rPr>
        <w:t>Future agenda items for</w:t>
      </w:r>
      <w:r w:rsidR="0020496C" w:rsidRPr="003242D7">
        <w:rPr>
          <w:i/>
          <w:sz w:val="22"/>
          <w:szCs w:val="22"/>
        </w:rPr>
        <w:t xml:space="preserve"> AY </w:t>
      </w:r>
      <w:r w:rsidR="00D530E5" w:rsidRPr="003242D7">
        <w:rPr>
          <w:i/>
          <w:sz w:val="22"/>
          <w:szCs w:val="22"/>
        </w:rPr>
        <w:t>20</w:t>
      </w:r>
      <w:r w:rsidR="0020496C" w:rsidRPr="003242D7">
        <w:rPr>
          <w:i/>
          <w:sz w:val="22"/>
          <w:szCs w:val="22"/>
        </w:rPr>
        <w:t xml:space="preserve">12-13:  </w:t>
      </w:r>
    </w:p>
    <w:p w:rsidR="00C94DDC" w:rsidRPr="003242D7" w:rsidRDefault="00581247" w:rsidP="00F87095">
      <w:pPr>
        <w:pStyle w:val="ListParagraph"/>
        <w:numPr>
          <w:ilvl w:val="0"/>
          <w:numId w:val="2"/>
        </w:numPr>
        <w:spacing w:after="0"/>
        <w:rPr>
          <w:i/>
          <w:sz w:val="22"/>
          <w:szCs w:val="22"/>
        </w:rPr>
      </w:pPr>
      <w:r w:rsidRPr="003242D7">
        <w:rPr>
          <w:i/>
          <w:sz w:val="22"/>
          <w:szCs w:val="22"/>
        </w:rPr>
        <w:t>Revise UAC by-laws</w:t>
      </w:r>
    </w:p>
    <w:p w:rsidR="00513A5D" w:rsidRPr="003242D7" w:rsidRDefault="00513A5D" w:rsidP="00513A5D">
      <w:pPr>
        <w:pStyle w:val="ListParagraph"/>
        <w:spacing w:after="0"/>
        <w:rPr>
          <w:sz w:val="22"/>
          <w:szCs w:val="22"/>
        </w:rPr>
      </w:pPr>
    </w:p>
    <w:p w:rsidR="00C94DDC" w:rsidRPr="003242D7" w:rsidRDefault="00C94DDC" w:rsidP="00F8709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Adjournment</w:t>
      </w:r>
      <w:r w:rsidR="004B37A2" w:rsidRPr="003242D7">
        <w:rPr>
          <w:sz w:val="22"/>
          <w:szCs w:val="22"/>
        </w:rPr>
        <w:t>: 3:04PM</w:t>
      </w:r>
    </w:p>
    <w:p w:rsidR="00C94DDC" w:rsidRPr="003242D7" w:rsidRDefault="00D530E5" w:rsidP="00F87095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 xml:space="preserve">Future meetings:  </w:t>
      </w:r>
      <w:r w:rsidR="00311A6B" w:rsidRPr="003242D7">
        <w:rPr>
          <w:sz w:val="22"/>
          <w:szCs w:val="22"/>
        </w:rPr>
        <w:t>Meeting dates for Spring</w:t>
      </w:r>
      <w:r w:rsidR="005D2FE6" w:rsidRPr="003242D7">
        <w:rPr>
          <w:sz w:val="22"/>
          <w:szCs w:val="22"/>
        </w:rPr>
        <w:t xml:space="preserve"> 2013: </w:t>
      </w:r>
      <w:r w:rsidR="005D2FE6" w:rsidRPr="003242D7">
        <w:rPr>
          <w:rFonts w:cs="Times New Roman"/>
          <w:sz w:val="22"/>
          <w:szCs w:val="22"/>
        </w:rPr>
        <w:t>Feb. 1, March 1, March 29, and April 26.</w:t>
      </w:r>
      <w:r w:rsidRPr="003242D7">
        <w:rPr>
          <w:sz w:val="22"/>
          <w:szCs w:val="22"/>
        </w:rPr>
        <w:t xml:space="preserve">   A</w:t>
      </w:r>
      <w:r w:rsidR="00C94DDC" w:rsidRPr="003242D7">
        <w:rPr>
          <w:sz w:val="22"/>
          <w:szCs w:val="22"/>
        </w:rPr>
        <w:t>l</w:t>
      </w:r>
      <w:r w:rsidRPr="003242D7">
        <w:rPr>
          <w:sz w:val="22"/>
          <w:szCs w:val="22"/>
        </w:rPr>
        <w:t>l meetings are Friday 1:30-3:00</w:t>
      </w:r>
      <w:r w:rsidR="00C94DDC" w:rsidRPr="003242D7">
        <w:rPr>
          <w:sz w:val="22"/>
          <w:szCs w:val="22"/>
        </w:rPr>
        <w:t>.</w:t>
      </w:r>
    </w:p>
    <w:p w:rsidR="004F6DB1" w:rsidRPr="003242D7" w:rsidRDefault="004F6DB1" w:rsidP="004F6DB1">
      <w:pPr>
        <w:spacing w:after="0"/>
        <w:rPr>
          <w:sz w:val="22"/>
          <w:szCs w:val="22"/>
        </w:rPr>
      </w:pPr>
    </w:p>
    <w:p w:rsidR="004F6DB1" w:rsidRPr="003242D7" w:rsidRDefault="004F6DB1" w:rsidP="004F6DB1">
      <w:pPr>
        <w:spacing w:after="0"/>
        <w:rPr>
          <w:sz w:val="22"/>
          <w:szCs w:val="22"/>
        </w:rPr>
      </w:pPr>
    </w:p>
    <w:p w:rsidR="004F6DB1" w:rsidRPr="003242D7" w:rsidRDefault="004F6DB1" w:rsidP="004F6DB1">
      <w:pPr>
        <w:spacing w:after="0"/>
        <w:rPr>
          <w:sz w:val="22"/>
          <w:szCs w:val="22"/>
        </w:rPr>
      </w:pPr>
      <w:r w:rsidRPr="003242D7">
        <w:rPr>
          <w:sz w:val="22"/>
          <w:szCs w:val="22"/>
        </w:rPr>
        <w:t>Minutes respectfully summited by Joe Anderson</w:t>
      </w:r>
    </w:p>
    <w:p w:rsidR="00C94DDC" w:rsidRPr="003242D7" w:rsidRDefault="00C94DDC" w:rsidP="00581247">
      <w:pPr>
        <w:spacing w:after="0"/>
        <w:rPr>
          <w:sz w:val="22"/>
          <w:szCs w:val="22"/>
        </w:rPr>
      </w:pPr>
    </w:p>
    <w:p w:rsidR="009A660C" w:rsidRPr="003242D7" w:rsidRDefault="009A660C">
      <w:pPr>
        <w:rPr>
          <w:sz w:val="22"/>
          <w:szCs w:val="22"/>
        </w:rPr>
      </w:pPr>
    </w:p>
    <w:sectPr w:rsidR="009A660C" w:rsidRPr="003242D7" w:rsidSect="00581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C5" w:rsidRDefault="000D2FC5" w:rsidP="004E2B9A">
      <w:pPr>
        <w:spacing w:after="0"/>
      </w:pPr>
      <w:r>
        <w:separator/>
      </w:r>
    </w:p>
  </w:endnote>
  <w:endnote w:type="continuationSeparator" w:id="0">
    <w:p w:rsidR="000D2FC5" w:rsidRDefault="000D2FC5" w:rsidP="004E2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A3" w:rsidRDefault="00D07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A3" w:rsidRDefault="00D07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A3" w:rsidRDefault="00D07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C5" w:rsidRDefault="000D2FC5" w:rsidP="004E2B9A">
      <w:pPr>
        <w:spacing w:after="0"/>
      </w:pPr>
      <w:r>
        <w:separator/>
      </w:r>
    </w:p>
  </w:footnote>
  <w:footnote w:type="continuationSeparator" w:id="0">
    <w:p w:rsidR="000D2FC5" w:rsidRDefault="000D2FC5" w:rsidP="004E2B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A3" w:rsidRDefault="00D07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A3" w:rsidRDefault="00D07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A3" w:rsidRDefault="00D07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48C"/>
    <w:multiLevelType w:val="hybridMultilevel"/>
    <w:tmpl w:val="6FA0B8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4E12725"/>
    <w:multiLevelType w:val="hybridMultilevel"/>
    <w:tmpl w:val="F28A3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C0373"/>
    <w:multiLevelType w:val="hybridMultilevel"/>
    <w:tmpl w:val="291E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85B84"/>
    <w:multiLevelType w:val="hybridMultilevel"/>
    <w:tmpl w:val="5448A9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EBF1631"/>
    <w:multiLevelType w:val="hybridMultilevel"/>
    <w:tmpl w:val="F2CAC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875AEA"/>
    <w:multiLevelType w:val="hybridMultilevel"/>
    <w:tmpl w:val="1F3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59DF"/>
    <w:multiLevelType w:val="hybridMultilevel"/>
    <w:tmpl w:val="180A9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5"/>
    <w:rsid w:val="000121A1"/>
    <w:rsid w:val="00020412"/>
    <w:rsid w:val="00025989"/>
    <w:rsid w:val="0003761B"/>
    <w:rsid w:val="00046745"/>
    <w:rsid w:val="0005030A"/>
    <w:rsid w:val="00053D7E"/>
    <w:rsid w:val="00067DCA"/>
    <w:rsid w:val="00072AAF"/>
    <w:rsid w:val="00091DC3"/>
    <w:rsid w:val="000D2FC5"/>
    <w:rsid w:val="000D406E"/>
    <w:rsid w:val="000E1014"/>
    <w:rsid w:val="000E4C0A"/>
    <w:rsid w:val="00142FCC"/>
    <w:rsid w:val="00180ED6"/>
    <w:rsid w:val="00193765"/>
    <w:rsid w:val="001A151F"/>
    <w:rsid w:val="001A44D1"/>
    <w:rsid w:val="001D1FE4"/>
    <w:rsid w:val="001E1954"/>
    <w:rsid w:val="001E6B4F"/>
    <w:rsid w:val="0020496C"/>
    <w:rsid w:val="0022004C"/>
    <w:rsid w:val="002A0DBF"/>
    <w:rsid w:val="002C2B98"/>
    <w:rsid w:val="002E161D"/>
    <w:rsid w:val="002F69B9"/>
    <w:rsid w:val="00300255"/>
    <w:rsid w:val="00311A6B"/>
    <w:rsid w:val="00322D41"/>
    <w:rsid w:val="003242D7"/>
    <w:rsid w:val="00326D54"/>
    <w:rsid w:val="003325A5"/>
    <w:rsid w:val="00344814"/>
    <w:rsid w:val="00367377"/>
    <w:rsid w:val="0037108D"/>
    <w:rsid w:val="003902BA"/>
    <w:rsid w:val="003915DA"/>
    <w:rsid w:val="003935A4"/>
    <w:rsid w:val="0039502C"/>
    <w:rsid w:val="003A75CE"/>
    <w:rsid w:val="003B0C04"/>
    <w:rsid w:val="003F62F2"/>
    <w:rsid w:val="00402AB0"/>
    <w:rsid w:val="0041652B"/>
    <w:rsid w:val="00421BB9"/>
    <w:rsid w:val="00443BE0"/>
    <w:rsid w:val="00466E11"/>
    <w:rsid w:val="00476D77"/>
    <w:rsid w:val="00491EEF"/>
    <w:rsid w:val="004A0A25"/>
    <w:rsid w:val="004B37A2"/>
    <w:rsid w:val="004D1D68"/>
    <w:rsid w:val="004D1FC9"/>
    <w:rsid w:val="004E2B9A"/>
    <w:rsid w:val="004E3889"/>
    <w:rsid w:val="004F534B"/>
    <w:rsid w:val="004F6DB1"/>
    <w:rsid w:val="00501144"/>
    <w:rsid w:val="0050471F"/>
    <w:rsid w:val="00511AF9"/>
    <w:rsid w:val="00513A5D"/>
    <w:rsid w:val="00575C50"/>
    <w:rsid w:val="00581247"/>
    <w:rsid w:val="00594445"/>
    <w:rsid w:val="005A3BCE"/>
    <w:rsid w:val="005B3B3A"/>
    <w:rsid w:val="005C7FB7"/>
    <w:rsid w:val="005D2FE6"/>
    <w:rsid w:val="005E560F"/>
    <w:rsid w:val="00601781"/>
    <w:rsid w:val="00603F99"/>
    <w:rsid w:val="00611021"/>
    <w:rsid w:val="00611A4E"/>
    <w:rsid w:val="00612B18"/>
    <w:rsid w:val="006542F0"/>
    <w:rsid w:val="00665E64"/>
    <w:rsid w:val="006802D7"/>
    <w:rsid w:val="00692A7B"/>
    <w:rsid w:val="006951EA"/>
    <w:rsid w:val="006A7AD8"/>
    <w:rsid w:val="006B7D4E"/>
    <w:rsid w:val="006D2D75"/>
    <w:rsid w:val="006E00C4"/>
    <w:rsid w:val="006E2E62"/>
    <w:rsid w:val="00702F93"/>
    <w:rsid w:val="00724E9F"/>
    <w:rsid w:val="00751242"/>
    <w:rsid w:val="007526BA"/>
    <w:rsid w:val="00762334"/>
    <w:rsid w:val="00783089"/>
    <w:rsid w:val="00785E82"/>
    <w:rsid w:val="0079695B"/>
    <w:rsid w:val="007A08D2"/>
    <w:rsid w:val="007C2643"/>
    <w:rsid w:val="007C7446"/>
    <w:rsid w:val="007D053C"/>
    <w:rsid w:val="007D5D43"/>
    <w:rsid w:val="008065FA"/>
    <w:rsid w:val="00810171"/>
    <w:rsid w:val="0081205D"/>
    <w:rsid w:val="008247D6"/>
    <w:rsid w:val="00842371"/>
    <w:rsid w:val="00860C06"/>
    <w:rsid w:val="0088218E"/>
    <w:rsid w:val="008837AE"/>
    <w:rsid w:val="00894ACA"/>
    <w:rsid w:val="008D4331"/>
    <w:rsid w:val="008E7952"/>
    <w:rsid w:val="008F4F76"/>
    <w:rsid w:val="00924A72"/>
    <w:rsid w:val="00936AFD"/>
    <w:rsid w:val="0094192D"/>
    <w:rsid w:val="00967AD9"/>
    <w:rsid w:val="00995D82"/>
    <w:rsid w:val="009A26AF"/>
    <w:rsid w:val="009A660C"/>
    <w:rsid w:val="009B3849"/>
    <w:rsid w:val="009B4628"/>
    <w:rsid w:val="009C1504"/>
    <w:rsid w:val="009C7230"/>
    <w:rsid w:val="009D40FF"/>
    <w:rsid w:val="009E0288"/>
    <w:rsid w:val="00A163B2"/>
    <w:rsid w:val="00A307BF"/>
    <w:rsid w:val="00A33A8A"/>
    <w:rsid w:val="00A36A0A"/>
    <w:rsid w:val="00A3766A"/>
    <w:rsid w:val="00A579DB"/>
    <w:rsid w:val="00A63F64"/>
    <w:rsid w:val="00A659C9"/>
    <w:rsid w:val="00A70B09"/>
    <w:rsid w:val="00A824C5"/>
    <w:rsid w:val="00A84914"/>
    <w:rsid w:val="00A86A9A"/>
    <w:rsid w:val="00A87C96"/>
    <w:rsid w:val="00AA133C"/>
    <w:rsid w:val="00AB1836"/>
    <w:rsid w:val="00AB31F7"/>
    <w:rsid w:val="00AB45FB"/>
    <w:rsid w:val="00AC49EB"/>
    <w:rsid w:val="00AC62C5"/>
    <w:rsid w:val="00AD710D"/>
    <w:rsid w:val="00AE1CB3"/>
    <w:rsid w:val="00AE7616"/>
    <w:rsid w:val="00AF4053"/>
    <w:rsid w:val="00B14714"/>
    <w:rsid w:val="00B20563"/>
    <w:rsid w:val="00B36CF3"/>
    <w:rsid w:val="00B439CB"/>
    <w:rsid w:val="00B57415"/>
    <w:rsid w:val="00B61911"/>
    <w:rsid w:val="00B65C6B"/>
    <w:rsid w:val="00B72E7C"/>
    <w:rsid w:val="00B74E58"/>
    <w:rsid w:val="00BA0DEC"/>
    <w:rsid w:val="00BB6661"/>
    <w:rsid w:val="00BF517F"/>
    <w:rsid w:val="00C04E7E"/>
    <w:rsid w:val="00C11985"/>
    <w:rsid w:val="00C36445"/>
    <w:rsid w:val="00C72C73"/>
    <w:rsid w:val="00C750D1"/>
    <w:rsid w:val="00C94DDC"/>
    <w:rsid w:val="00CA449E"/>
    <w:rsid w:val="00CA7F24"/>
    <w:rsid w:val="00CC5988"/>
    <w:rsid w:val="00CD5911"/>
    <w:rsid w:val="00CF286C"/>
    <w:rsid w:val="00CF3ADD"/>
    <w:rsid w:val="00CF4597"/>
    <w:rsid w:val="00D0482B"/>
    <w:rsid w:val="00D04940"/>
    <w:rsid w:val="00D05DCB"/>
    <w:rsid w:val="00D07AA3"/>
    <w:rsid w:val="00D13068"/>
    <w:rsid w:val="00D425CC"/>
    <w:rsid w:val="00D530E5"/>
    <w:rsid w:val="00D749B0"/>
    <w:rsid w:val="00D75FE7"/>
    <w:rsid w:val="00D93D47"/>
    <w:rsid w:val="00DB1063"/>
    <w:rsid w:val="00DB1CA5"/>
    <w:rsid w:val="00DC4C85"/>
    <w:rsid w:val="00DC6639"/>
    <w:rsid w:val="00DC6FBC"/>
    <w:rsid w:val="00DD1192"/>
    <w:rsid w:val="00DD182D"/>
    <w:rsid w:val="00DD2709"/>
    <w:rsid w:val="00DF659C"/>
    <w:rsid w:val="00E338E1"/>
    <w:rsid w:val="00E83258"/>
    <w:rsid w:val="00E855EA"/>
    <w:rsid w:val="00EA5AFB"/>
    <w:rsid w:val="00EB02D5"/>
    <w:rsid w:val="00EB12EA"/>
    <w:rsid w:val="00EC1A36"/>
    <w:rsid w:val="00EC61E8"/>
    <w:rsid w:val="00ED181B"/>
    <w:rsid w:val="00EE2618"/>
    <w:rsid w:val="00EE7A08"/>
    <w:rsid w:val="00EE7F17"/>
    <w:rsid w:val="00F000EB"/>
    <w:rsid w:val="00F20A84"/>
    <w:rsid w:val="00F56E47"/>
    <w:rsid w:val="00F76F21"/>
    <w:rsid w:val="00F77DCF"/>
    <w:rsid w:val="00F87095"/>
    <w:rsid w:val="00F95D10"/>
    <w:rsid w:val="00F965BA"/>
    <w:rsid w:val="00FB20A8"/>
    <w:rsid w:val="00FF4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8D"/>
    <w:pPr>
      <w:ind w:left="720"/>
      <w:contextualSpacing/>
    </w:pPr>
  </w:style>
  <w:style w:type="character" w:styleId="Hyperlink">
    <w:name w:val="Hyperlink"/>
    <w:basedOn w:val="DefaultParagraphFont"/>
    <w:rsid w:val="003A7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2B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1"/>
    <w:qFormat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530E5"/>
    <w:rPr>
      <w:b/>
      <w:bCs/>
    </w:rPr>
  </w:style>
  <w:style w:type="table" w:styleId="TableGrid">
    <w:name w:val="Table Grid"/>
    <w:basedOn w:val="TableNormal"/>
    <w:uiPriority w:val="59"/>
    <w:rsid w:val="00142FCC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8D"/>
    <w:pPr>
      <w:ind w:left="720"/>
      <w:contextualSpacing/>
    </w:pPr>
  </w:style>
  <w:style w:type="character" w:styleId="Hyperlink">
    <w:name w:val="Hyperlink"/>
    <w:basedOn w:val="DefaultParagraphFont"/>
    <w:rsid w:val="003A7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2B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1"/>
    <w:qFormat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530E5"/>
    <w:rPr>
      <w:b/>
      <w:bCs/>
    </w:rPr>
  </w:style>
  <w:style w:type="table" w:styleId="TableGrid">
    <w:name w:val="Table Grid"/>
    <w:basedOn w:val="TableNormal"/>
    <w:uiPriority w:val="59"/>
    <w:rsid w:val="00142FCC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outcomes.byu.ed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ucknell.edu/x50035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essment.uci.edu/assess/outcomes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Laurie Dickson</dc:creator>
  <cp:lastModifiedBy>mno</cp:lastModifiedBy>
  <cp:revision>2</cp:revision>
  <cp:lastPrinted>2012-08-15T23:29:00Z</cp:lastPrinted>
  <dcterms:created xsi:type="dcterms:W3CDTF">2013-05-14T14:17:00Z</dcterms:created>
  <dcterms:modified xsi:type="dcterms:W3CDTF">2013-05-14T14:17:00Z</dcterms:modified>
</cp:coreProperties>
</file>