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52" w:rsidRDefault="00C60952" w:rsidP="00360ADA">
      <w:pPr>
        <w:tabs>
          <w:tab w:val="center" w:pos="5284"/>
        </w:tabs>
        <w:spacing w:line="259" w:lineRule="auto"/>
        <w:ind w:left="0" w:firstLine="0"/>
      </w:pPr>
      <w:r>
        <w:rPr>
          <w:sz w:val="35"/>
        </w:rPr>
        <w:t>Quick Reference Guide</w:t>
      </w:r>
    </w:p>
    <w:p w:rsidR="00C60952" w:rsidRDefault="00C60952" w:rsidP="00360ADA">
      <w:pPr>
        <w:tabs>
          <w:tab w:val="center" w:pos="5284"/>
        </w:tabs>
        <w:spacing w:line="259" w:lineRule="auto"/>
        <w:ind w:left="0" w:firstLine="0"/>
      </w:pPr>
      <w:r>
        <w:rPr>
          <w:b w:val="0"/>
          <w:i/>
          <w:sz w:val="26"/>
        </w:rPr>
        <w:t>A "short list" of Allowable and Unallowable Costs for Federally Sponsored Projects</w:t>
      </w:r>
    </w:p>
    <w:p w:rsidR="00C60952" w:rsidRDefault="00C60952" w:rsidP="00360ADA">
      <w:pPr>
        <w:spacing w:line="259" w:lineRule="auto"/>
        <w:ind w:left="0" w:firstLine="0"/>
      </w:pPr>
    </w:p>
    <w:p w:rsidR="00C60952" w:rsidRDefault="00C60952" w:rsidP="00360ADA">
      <w:pPr>
        <w:tabs>
          <w:tab w:val="center" w:pos="5297"/>
        </w:tabs>
        <w:spacing w:line="259" w:lineRule="auto"/>
        <w:ind w:left="0" w:firstLine="0"/>
      </w:pPr>
      <w:r>
        <w:rPr>
          <w:i/>
          <w:sz w:val="17"/>
        </w:rPr>
        <w:t xml:space="preserve">From:   </w:t>
      </w:r>
      <w:r>
        <w:rPr>
          <w:sz w:val="17"/>
        </w:rPr>
        <w:t>CFR 200 Uniform Administrative Requirements, Cost Principles, and Audit Requirements for</w:t>
      </w:r>
    </w:p>
    <w:p w:rsidR="00C60952" w:rsidRDefault="00C60952" w:rsidP="00360ADA">
      <w:pPr>
        <w:tabs>
          <w:tab w:val="center" w:pos="5308"/>
        </w:tabs>
        <w:spacing w:after="148" w:line="259" w:lineRule="auto"/>
        <w:ind w:left="0" w:firstLine="0"/>
      </w:pPr>
      <w:r>
        <w:rPr>
          <w:sz w:val="17"/>
        </w:rPr>
        <w:t>Federal Awards  - Known as “Uniform Guidance” (formerly OMB Circular A-21),</w:t>
      </w:r>
    </w:p>
    <w:p w:rsidR="00C60952" w:rsidRDefault="00C60952" w:rsidP="00360ADA">
      <w:pPr>
        <w:spacing w:line="258" w:lineRule="auto"/>
        <w:ind w:left="232" w:right="-222" w:firstLine="0"/>
      </w:pPr>
      <w:r>
        <w:rPr>
          <w:sz w:val="20"/>
        </w:rPr>
        <w:t xml:space="preserve">For a cost to be </w:t>
      </w:r>
      <w:r>
        <w:rPr>
          <w:i/>
          <w:sz w:val="20"/>
        </w:rPr>
        <w:t>allowable</w:t>
      </w:r>
      <w:r>
        <w:rPr>
          <w:sz w:val="20"/>
        </w:rPr>
        <w:t xml:space="preserve"> it must meet OMB criteria of being reasonable, allocable and consistently treated and conform to any limitations or exclusions set forth in the cost principles or sponsored agreement.</w:t>
      </w:r>
    </w:p>
    <w:p w:rsidR="00065A6E" w:rsidRDefault="0054693B" w:rsidP="00360ADA"/>
    <w:tbl>
      <w:tblPr>
        <w:tblStyle w:val="TableGrid"/>
        <w:tblpPr w:leftFromText="180" w:rightFromText="180" w:vertAnchor="text" w:horzAnchor="margin" w:tblpXSpec="center" w:tblpY="136"/>
        <w:tblW w:w="101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</w:tblCellMar>
        <w:tblLook w:val="04A0" w:firstRow="1" w:lastRow="0" w:firstColumn="1" w:lastColumn="0" w:noHBand="0" w:noVBand="1"/>
      </w:tblPr>
      <w:tblGrid>
        <w:gridCol w:w="810"/>
        <w:gridCol w:w="1752"/>
        <w:gridCol w:w="3776"/>
        <w:gridCol w:w="3775"/>
      </w:tblGrid>
      <w:tr w:rsidR="00C60952" w:rsidTr="0054693B">
        <w:trPr>
          <w:trHeight w:val="641"/>
        </w:trPr>
        <w:tc>
          <w:tcPr>
            <w:tcW w:w="810" w:type="dxa"/>
            <w:shd w:val="clear" w:color="auto" w:fill="DBE4F0"/>
          </w:tcPr>
          <w:p w:rsidR="00C60952" w:rsidRDefault="00C60952" w:rsidP="0054693B">
            <w:pPr>
              <w:spacing w:before="240" w:line="259" w:lineRule="auto"/>
              <w:ind w:left="2" w:firstLine="0"/>
            </w:pPr>
            <w:r>
              <w:rPr>
                <w:sz w:val="16"/>
              </w:rPr>
              <w:t>CFR</w:t>
            </w:r>
          </w:p>
          <w:p w:rsidR="00C60952" w:rsidRDefault="00C60952" w:rsidP="00360ADA">
            <w:pPr>
              <w:spacing w:line="259" w:lineRule="auto"/>
              <w:ind w:left="65" w:firstLine="0"/>
            </w:pPr>
            <w:r>
              <w:rPr>
                <w:sz w:val="16"/>
              </w:rPr>
              <w:t>Reference</w:t>
            </w:r>
          </w:p>
        </w:tc>
        <w:tc>
          <w:tcPr>
            <w:tcW w:w="1752" w:type="dxa"/>
            <w:shd w:val="clear" w:color="auto" w:fill="DBE4F0"/>
          </w:tcPr>
          <w:p w:rsidR="00C60952" w:rsidRDefault="00C60952" w:rsidP="0054693B">
            <w:pPr>
              <w:spacing w:before="240" w:line="259" w:lineRule="auto"/>
              <w:ind w:left="7" w:firstLine="0"/>
            </w:pPr>
            <w:r>
              <w:rPr>
                <w:sz w:val="16"/>
              </w:rPr>
              <w:t>Type of Cost</w:t>
            </w:r>
          </w:p>
        </w:tc>
        <w:tc>
          <w:tcPr>
            <w:tcW w:w="3776" w:type="dxa"/>
            <w:shd w:val="clear" w:color="auto" w:fill="DBE4F0"/>
          </w:tcPr>
          <w:p w:rsidR="00C60952" w:rsidRDefault="0054693B" w:rsidP="00360ADA">
            <w:pPr>
              <w:spacing w:before="240" w:after="289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B729DE3" wp14:editId="471FC36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132715</wp:posOffset>
                  </wp:positionV>
                  <wp:extent cx="228600" cy="216535"/>
                  <wp:effectExtent l="0" t="0" r="0" b="0"/>
                  <wp:wrapSquare wrapText="bothSides"/>
                  <wp:docPr id="2462" name="Picture 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952">
              <w:t>Allowable as a Direct Cost</w:t>
            </w:r>
          </w:p>
        </w:tc>
        <w:tc>
          <w:tcPr>
            <w:tcW w:w="3775" w:type="dxa"/>
            <w:shd w:val="clear" w:color="auto" w:fill="DBE4F0"/>
          </w:tcPr>
          <w:p w:rsidR="00C60952" w:rsidRDefault="00360ADA" w:rsidP="00360ADA">
            <w:pPr>
              <w:spacing w:before="240" w:line="259" w:lineRule="auto"/>
              <w:ind w:left="0" w:right="136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8988AF5" wp14:editId="7F179D7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132715</wp:posOffset>
                  </wp:positionV>
                  <wp:extent cx="171450" cy="159385"/>
                  <wp:effectExtent l="0" t="0" r="0" b="0"/>
                  <wp:wrapSquare wrapText="bothSides"/>
                  <wp:docPr id="2464" name="Picture 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U</w:t>
            </w:r>
            <w:r w:rsidR="00C60952">
              <w:t>nallowable as a Direct Cost</w:t>
            </w:r>
          </w:p>
        </w:tc>
      </w:tr>
      <w:tr w:rsidR="00C60952" w:rsidTr="0054693B">
        <w:trPr>
          <w:trHeight w:val="1118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421 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>Advertising &amp; Public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16"/>
              </w:rPr>
              <w:t xml:space="preserve">Allowable only if related to and necessary for performance of the sponsored project (i.e., recruitment of personnel, procurement of goods and services etc.) 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after="2" w:line="256" w:lineRule="auto"/>
              <w:ind w:left="5" w:firstLine="0"/>
              <w:jc w:val="left"/>
            </w:pPr>
            <w:r>
              <w:rPr>
                <w:b w:val="0"/>
                <w:sz w:val="16"/>
              </w:rPr>
              <w:t xml:space="preserve">Unallowable for advertising related to the general image of the university or events related to instruction, other </w:t>
            </w:r>
          </w:p>
          <w:p w:rsidR="00C60952" w:rsidRDefault="00C60952" w:rsidP="0054693B">
            <w:pPr>
              <w:spacing w:line="258" w:lineRule="auto"/>
              <w:ind w:left="33" w:firstLine="0"/>
              <w:jc w:val="left"/>
            </w:pPr>
            <w:r>
              <w:rPr>
                <w:b w:val="0"/>
                <w:sz w:val="16"/>
              </w:rPr>
              <w:t xml:space="preserve">institutional activities, or demonstrations. Unallowable for promotional items and memorabilia, including </w:t>
            </w:r>
          </w:p>
          <w:p w:rsidR="00C60952" w:rsidRDefault="00C60952" w:rsidP="0054693B">
            <w:pPr>
              <w:spacing w:line="259" w:lineRule="auto"/>
              <w:ind w:left="25" w:firstLine="0"/>
              <w:jc w:val="left"/>
            </w:pPr>
            <w:r>
              <w:rPr>
                <w:b w:val="0"/>
                <w:sz w:val="16"/>
              </w:rPr>
              <w:t xml:space="preserve">models, gifts and souvenirs </w:t>
            </w:r>
          </w:p>
        </w:tc>
      </w:tr>
      <w:tr w:rsidR="00C60952" w:rsidTr="0054693B">
        <w:trPr>
          <w:trHeight w:val="295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46" w:firstLine="0"/>
              <w:jc w:val="left"/>
            </w:pPr>
            <w:r>
              <w:rPr>
                <w:sz w:val="16"/>
              </w:rPr>
              <w:t>423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0" w:right="99" w:firstLine="0"/>
              <w:jc w:val="left"/>
            </w:pPr>
            <w:r>
              <w:rPr>
                <w:sz w:val="16"/>
              </w:rPr>
              <w:t>Alcoholic Beverages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Unallowable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C60952" w:rsidTr="0054693B">
        <w:trPr>
          <w:trHeight w:val="689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Appendix </w:t>
            </w:r>
          </w:p>
          <w:p w:rsidR="00C60952" w:rsidRDefault="00C60952" w:rsidP="0054693B">
            <w:pPr>
              <w:spacing w:line="259" w:lineRule="auto"/>
              <w:jc w:val="left"/>
            </w:pPr>
            <w:r>
              <w:rPr>
                <w:sz w:val="16"/>
              </w:rPr>
              <w:t xml:space="preserve">III,B6(1)(2) 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7" w:firstLine="0"/>
              <w:jc w:val="left"/>
            </w:pPr>
            <w:r>
              <w:rPr>
                <w:sz w:val="16"/>
              </w:rPr>
              <w:t>Communication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48" w:firstLine="0"/>
              <w:jc w:val="left"/>
            </w:pPr>
            <w:r>
              <w:rPr>
                <w:b w:val="0"/>
                <w:sz w:val="16"/>
              </w:rPr>
              <w:t xml:space="preserve">Allowable ONLY for costs directly attributable to a </w:t>
            </w:r>
            <w:r>
              <w:rPr>
                <w:sz w:val="16"/>
              </w:rPr>
              <w:t>specific</w:t>
            </w:r>
            <w:r>
              <w:rPr>
                <w:b w:val="0"/>
                <w:sz w:val="16"/>
              </w:rPr>
              <w:t xml:space="preserve"> project (ex. long distance calls.   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Unallowable for recurring line charges, network charges, local telephone costs, or other general/generic communication expenses. </w:t>
            </w:r>
          </w:p>
        </w:tc>
      </w:tr>
      <w:tr w:rsidR="00C60952" w:rsidTr="0054693B">
        <w:trPr>
          <w:trHeight w:val="1068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430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after="2" w:line="259" w:lineRule="auto"/>
              <w:ind w:left="0" w:right="3" w:firstLine="0"/>
              <w:jc w:val="left"/>
            </w:pPr>
            <w:r>
              <w:rPr>
                <w:sz w:val="16"/>
              </w:rPr>
              <w:t>Compensation for</w:t>
            </w:r>
          </w:p>
          <w:p w:rsidR="00C60952" w:rsidRDefault="00C60952" w:rsidP="0054693B">
            <w:pPr>
              <w:spacing w:line="259" w:lineRule="auto"/>
              <w:ind w:left="0" w:right="6" w:firstLine="0"/>
              <w:jc w:val="left"/>
            </w:pPr>
            <w:r>
              <w:rPr>
                <w:sz w:val="16"/>
              </w:rPr>
              <w:t>Personal Services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65" w:right="43" w:firstLine="0"/>
              <w:jc w:val="left"/>
            </w:pPr>
            <w:r>
              <w:rPr>
                <w:b w:val="0"/>
                <w:sz w:val="16"/>
              </w:rPr>
              <w:t>Salaries, wages and fringe benefits of personnel who directly contribute to the project's technical purpose (i.e. Faculty, other technical &amp; research staff)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0" w:right="51" w:firstLine="0"/>
              <w:jc w:val="left"/>
            </w:pPr>
            <w:r>
              <w:rPr>
                <w:b w:val="0"/>
                <w:sz w:val="16"/>
              </w:rPr>
              <w:t>Unallowable for salaries &amp; wages of administrative &amp; clerical staff. See code for exceptions. *The cost of institution-furnished automobiles that relate to personal use by employees is unallowable.</w:t>
            </w:r>
            <w:bookmarkStart w:id="0" w:name="_GoBack"/>
            <w:bookmarkEnd w:id="0"/>
          </w:p>
        </w:tc>
      </w:tr>
      <w:tr w:rsidR="00C60952" w:rsidTr="0054693B">
        <w:trPr>
          <w:trHeight w:val="415"/>
        </w:trPr>
        <w:tc>
          <w:tcPr>
            <w:tcW w:w="810" w:type="dxa"/>
          </w:tcPr>
          <w:p w:rsidR="00C60952" w:rsidRDefault="00C60952" w:rsidP="0054693B">
            <w:pPr>
              <w:spacing w:after="40"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434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422" w:right="230" w:firstLine="41"/>
              <w:jc w:val="left"/>
            </w:pPr>
            <w:r>
              <w:rPr>
                <w:sz w:val="16"/>
              </w:rPr>
              <w:t>Contributions &amp; Donations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after="40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after="40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Unallowable</w:t>
            </w:r>
          </w:p>
        </w:tc>
      </w:tr>
      <w:tr w:rsidR="00C60952" w:rsidTr="0054693B">
        <w:trPr>
          <w:trHeight w:val="636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438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6" w:firstLine="0"/>
              <w:jc w:val="left"/>
            </w:pPr>
            <w:r>
              <w:rPr>
                <w:sz w:val="16"/>
              </w:rPr>
              <w:t>Entertainment Costs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219" w:right="32" w:hanging="161"/>
              <w:jc w:val="left"/>
            </w:pPr>
            <w:r>
              <w:rPr>
                <w:sz w:val="16"/>
              </w:rPr>
              <w:t xml:space="preserve">Unallowable </w:t>
            </w:r>
            <w:r>
              <w:rPr>
                <w:b w:val="0"/>
                <w:sz w:val="16"/>
              </w:rPr>
              <w:t>- includes amusement, diversion, and social activities and any costs directly associated with such costs.</w:t>
            </w:r>
          </w:p>
        </w:tc>
      </w:tr>
      <w:tr w:rsidR="00C60952" w:rsidTr="0054693B">
        <w:trPr>
          <w:trHeight w:val="1483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439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after="14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" w:firstLine="0"/>
              <w:jc w:val="left"/>
            </w:pPr>
            <w:r>
              <w:rPr>
                <w:sz w:val="16"/>
              </w:rPr>
              <w:t>Equipment &amp; other</w:t>
            </w:r>
          </w:p>
          <w:p w:rsidR="00C60952" w:rsidRDefault="00C60952" w:rsidP="0054693B">
            <w:pPr>
              <w:spacing w:line="259" w:lineRule="auto"/>
              <w:ind w:left="0" w:right="10" w:firstLine="0"/>
              <w:jc w:val="left"/>
            </w:pPr>
            <w:r>
              <w:rPr>
                <w:sz w:val="16"/>
              </w:rPr>
              <w:t>Capital Expenditures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after="29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8" w:lineRule="auto"/>
              <w:ind w:left="231"/>
              <w:jc w:val="left"/>
            </w:pPr>
            <w:r>
              <w:rPr>
                <w:b w:val="0"/>
                <w:sz w:val="16"/>
              </w:rPr>
              <w:t xml:space="preserve">Allowable only for </w:t>
            </w:r>
            <w:r>
              <w:rPr>
                <w:b w:val="0"/>
                <w:i/>
                <w:sz w:val="16"/>
              </w:rPr>
              <w:t xml:space="preserve">special purpose equipment - </w:t>
            </w:r>
            <w:r>
              <w:rPr>
                <w:b w:val="0"/>
                <w:sz w:val="16"/>
              </w:rPr>
              <w:t>used exclusively for research, medical, scientific, or other</w:t>
            </w:r>
          </w:p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>technical activities. Prior approval from awarding agency required for items with a unit cost of $5,000 or more.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after="27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8" w:lineRule="auto"/>
              <w:ind w:left="276" w:right="88" w:hanging="166"/>
              <w:jc w:val="left"/>
            </w:pPr>
            <w:r>
              <w:rPr>
                <w:b w:val="0"/>
                <w:sz w:val="16"/>
              </w:rPr>
              <w:t xml:space="preserve">Unallowable for </w:t>
            </w:r>
            <w:r>
              <w:rPr>
                <w:b w:val="0"/>
                <w:i/>
                <w:sz w:val="16"/>
              </w:rPr>
              <w:t xml:space="preserve">General Purpose Equipment </w:t>
            </w:r>
            <w:r>
              <w:rPr>
                <w:b w:val="0"/>
                <w:sz w:val="16"/>
              </w:rPr>
              <w:t>- not used exclusively for research (i.e., office equipment and furnishings, modular offices, telephone networks,</w:t>
            </w:r>
          </w:p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16"/>
              </w:rPr>
              <w:t>Information Technology equipment &amp; systems, AC equipment, reproduction and printing equipment, and motor vehicles etc.).</w:t>
            </w:r>
          </w:p>
        </w:tc>
      </w:tr>
      <w:tr w:rsidR="00C60952" w:rsidTr="0054693B">
        <w:trPr>
          <w:trHeight w:val="581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441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1" w:firstLine="0"/>
              <w:jc w:val="left"/>
            </w:pPr>
            <w:r>
              <w:rPr>
                <w:sz w:val="16"/>
              </w:rPr>
              <w:t>Fines &amp; Penalties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Unallowable </w:t>
            </w:r>
            <w:r>
              <w:rPr>
                <w:b w:val="0"/>
                <w:sz w:val="16"/>
              </w:rPr>
              <w:t>except when incurred as a result of compliance with specific federal award provisions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Unallowable </w:t>
            </w:r>
            <w:r>
              <w:rPr>
                <w:b w:val="0"/>
                <w:sz w:val="16"/>
              </w:rPr>
              <w:t>except when incurred as a result of compliance with specific federal award provisions</w:t>
            </w:r>
          </w:p>
        </w:tc>
      </w:tr>
      <w:tr w:rsidR="00C60952" w:rsidTr="0054693B">
        <w:trPr>
          <w:trHeight w:val="425"/>
        </w:trPr>
        <w:tc>
          <w:tcPr>
            <w:tcW w:w="810" w:type="dxa"/>
          </w:tcPr>
          <w:p w:rsidR="00C60952" w:rsidRDefault="00C60952" w:rsidP="0054693B">
            <w:pPr>
              <w:spacing w:after="40"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445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>Goods or Services for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Personal Use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after="40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after="40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Unallowable</w:t>
            </w:r>
          </w:p>
        </w:tc>
      </w:tr>
      <w:tr w:rsidR="00C60952" w:rsidTr="0054693B">
        <w:trPr>
          <w:trHeight w:val="456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85" w:firstLine="0"/>
              <w:jc w:val="left"/>
            </w:pPr>
            <w:r>
              <w:rPr>
                <w:sz w:val="16"/>
              </w:rPr>
              <w:t>Appendix</w:t>
            </w:r>
          </w:p>
          <w:p w:rsidR="00C60952" w:rsidRDefault="00C60952" w:rsidP="0054693B">
            <w:pPr>
              <w:spacing w:line="259" w:lineRule="auto"/>
              <w:ind w:left="1" w:firstLine="0"/>
              <w:jc w:val="left"/>
            </w:pPr>
            <w:r>
              <w:rPr>
                <w:sz w:val="16"/>
              </w:rPr>
              <w:t>III,B5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46" w:firstLine="0"/>
              <w:jc w:val="left"/>
            </w:pPr>
            <w:r>
              <w:rPr>
                <w:sz w:val="16"/>
              </w:rPr>
              <w:t>Housing &amp; Personal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Living Expenses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after="40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after="40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Unallowable</w:t>
            </w:r>
          </w:p>
        </w:tc>
      </w:tr>
      <w:tr w:rsidR="00C60952" w:rsidTr="0054693B">
        <w:trPr>
          <w:trHeight w:val="1093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447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after="14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3" w:firstLine="0"/>
              <w:jc w:val="left"/>
            </w:pPr>
            <w:r>
              <w:rPr>
                <w:sz w:val="16"/>
              </w:rPr>
              <w:t>Insurance &amp;</w:t>
            </w:r>
          </w:p>
          <w:p w:rsidR="00C60952" w:rsidRDefault="00C60952" w:rsidP="0054693B">
            <w:pPr>
              <w:spacing w:line="259" w:lineRule="auto"/>
              <w:ind w:left="77" w:firstLine="0"/>
              <w:jc w:val="left"/>
            </w:pPr>
            <w:r>
              <w:rPr>
                <w:sz w:val="16"/>
              </w:rPr>
              <w:t>Indemnification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after="17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8" w:lineRule="auto"/>
              <w:ind w:left="0" w:firstLine="0"/>
              <w:jc w:val="left"/>
            </w:pPr>
            <w:r>
              <w:rPr>
                <w:b w:val="0"/>
                <w:sz w:val="16"/>
              </w:rPr>
              <w:t>Allowable if related to and necessary for the performance of the sponsored project (Note: malpractice insurance is</w:t>
            </w:r>
          </w:p>
          <w:p w:rsidR="00C60952" w:rsidRDefault="00C60952" w:rsidP="0054693B">
            <w:pPr>
              <w:spacing w:line="259" w:lineRule="auto"/>
              <w:ind w:left="38" w:firstLine="0"/>
              <w:jc w:val="left"/>
            </w:pPr>
            <w:r>
              <w:rPr>
                <w:b w:val="0"/>
                <w:sz w:val="16"/>
              </w:rPr>
              <w:t>an allowable cost of research programs only to the extent</w:t>
            </w:r>
          </w:p>
          <w:p w:rsidR="00C60952" w:rsidRDefault="00C60952" w:rsidP="0054693B">
            <w:pPr>
              <w:spacing w:line="259" w:lineRule="auto"/>
              <w:ind w:left="25" w:firstLine="0"/>
              <w:jc w:val="left"/>
            </w:pPr>
            <w:r>
              <w:rPr>
                <w:b w:val="0"/>
                <w:sz w:val="16"/>
              </w:rPr>
              <w:t>that the research involves human subjects)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-12" w:firstLine="0"/>
              <w:jc w:val="left"/>
            </w:pPr>
          </w:p>
          <w:p w:rsidR="00C60952" w:rsidRDefault="00C60952" w:rsidP="0054693B">
            <w:pPr>
              <w:spacing w:line="258" w:lineRule="auto"/>
              <w:ind w:left="0" w:firstLine="0"/>
              <w:jc w:val="left"/>
            </w:pPr>
            <w:r>
              <w:rPr>
                <w:b w:val="0"/>
                <w:sz w:val="16"/>
              </w:rPr>
              <w:t>Refer to the code for allowability of other types of insurance maintained by the institution in connection</w:t>
            </w:r>
          </w:p>
          <w:p w:rsidR="00C60952" w:rsidRDefault="00C60952" w:rsidP="0054693B">
            <w:pPr>
              <w:spacing w:line="259" w:lineRule="auto"/>
              <w:ind w:left="-14" w:firstLine="0"/>
              <w:jc w:val="left"/>
            </w:pPr>
            <w:r>
              <w:rPr>
                <w:b w:val="0"/>
                <w:sz w:val="16"/>
              </w:rPr>
              <w:t>with the general conduct of its activities.</w:t>
            </w:r>
          </w:p>
        </w:tc>
      </w:tr>
      <w:tr w:rsidR="00C60952" w:rsidTr="0054693B">
        <w:trPr>
          <w:trHeight w:val="214"/>
        </w:trPr>
        <w:tc>
          <w:tcPr>
            <w:tcW w:w="810" w:type="dxa"/>
          </w:tcPr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450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line="259" w:lineRule="auto"/>
              <w:ind w:left="0" w:right="3" w:firstLine="0"/>
              <w:jc w:val="left"/>
            </w:pPr>
            <w:r>
              <w:rPr>
                <w:i/>
                <w:sz w:val="16"/>
              </w:rPr>
              <w:t xml:space="preserve">Most </w:t>
            </w:r>
            <w:r>
              <w:rPr>
                <w:sz w:val="16"/>
              </w:rPr>
              <w:t>Lobbying Costs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Unallowable</w:t>
            </w:r>
          </w:p>
        </w:tc>
      </w:tr>
      <w:tr w:rsidR="00C60952" w:rsidTr="0054693B">
        <w:trPr>
          <w:trHeight w:val="869"/>
        </w:trPr>
        <w:tc>
          <w:tcPr>
            <w:tcW w:w="810" w:type="dxa"/>
          </w:tcPr>
          <w:p w:rsidR="00C60952" w:rsidRDefault="00C60952" w:rsidP="0054693B">
            <w:pPr>
              <w:spacing w:after="16"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5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0" w:right="36" w:firstLine="0"/>
              <w:jc w:val="left"/>
            </w:pPr>
            <w:r>
              <w:rPr>
                <w:sz w:val="16"/>
              </w:rPr>
              <w:t>451</w:t>
            </w:r>
          </w:p>
        </w:tc>
        <w:tc>
          <w:tcPr>
            <w:tcW w:w="1752" w:type="dxa"/>
          </w:tcPr>
          <w:p w:rsidR="00C60952" w:rsidRDefault="00C60952" w:rsidP="0054693B">
            <w:pPr>
              <w:spacing w:after="17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6" w:firstLine="0"/>
              <w:jc w:val="left"/>
            </w:pPr>
            <w:r>
              <w:rPr>
                <w:sz w:val="16"/>
              </w:rPr>
              <w:t>Losses on Other</w:t>
            </w:r>
          </w:p>
          <w:p w:rsidR="00C60952" w:rsidRDefault="00C60952" w:rsidP="0054693B">
            <w:pPr>
              <w:spacing w:line="259" w:lineRule="auto"/>
              <w:ind w:left="480" w:hanging="372"/>
              <w:jc w:val="left"/>
            </w:pPr>
            <w:r>
              <w:rPr>
                <w:sz w:val="16"/>
              </w:rPr>
              <w:t>Sponsored Agreements or Contracts</w:t>
            </w:r>
          </w:p>
        </w:tc>
        <w:tc>
          <w:tcPr>
            <w:tcW w:w="3776" w:type="dxa"/>
          </w:tcPr>
          <w:p w:rsidR="00C60952" w:rsidRDefault="00C60952" w:rsidP="0054693B">
            <w:pPr>
              <w:spacing w:after="16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3" w:firstLine="0"/>
              <w:jc w:val="left"/>
            </w:pPr>
            <w:r>
              <w:rPr>
                <w:sz w:val="16"/>
              </w:rPr>
              <w:t>Unallowable</w:t>
            </w:r>
          </w:p>
        </w:tc>
        <w:tc>
          <w:tcPr>
            <w:tcW w:w="3775" w:type="dxa"/>
          </w:tcPr>
          <w:p w:rsidR="00C60952" w:rsidRDefault="00C60952" w:rsidP="0054693B">
            <w:pPr>
              <w:spacing w:after="16"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7" w:firstLine="0"/>
              <w:jc w:val="left"/>
            </w:pPr>
          </w:p>
          <w:p w:rsidR="00C60952" w:rsidRDefault="00C60952" w:rsidP="0054693B">
            <w:pPr>
              <w:spacing w:line="259" w:lineRule="auto"/>
              <w:ind w:left="24" w:firstLine="0"/>
              <w:jc w:val="left"/>
            </w:pPr>
            <w:r>
              <w:rPr>
                <w:sz w:val="16"/>
              </w:rPr>
              <w:t>Unallowable</w:t>
            </w:r>
          </w:p>
        </w:tc>
      </w:tr>
    </w:tbl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tbl>
      <w:tblPr>
        <w:tblStyle w:val="TableGrid"/>
        <w:tblW w:w="10113" w:type="dxa"/>
        <w:jc w:val="center"/>
        <w:tblInd w:w="0" w:type="dxa"/>
        <w:tblCellMar>
          <w:top w:w="11" w:type="dxa"/>
          <w:right w:w="4" w:type="dxa"/>
        </w:tblCellMar>
        <w:tblLook w:val="04A0" w:firstRow="1" w:lastRow="0" w:firstColumn="1" w:lastColumn="0" w:noHBand="0" w:noVBand="1"/>
      </w:tblPr>
      <w:tblGrid>
        <w:gridCol w:w="810"/>
        <w:gridCol w:w="1752"/>
        <w:gridCol w:w="3776"/>
        <w:gridCol w:w="3775"/>
      </w:tblGrid>
      <w:tr w:rsidR="00C60952" w:rsidTr="00360ADA">
        <w:trPr>
          <w:trHeight w:val="63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after="27" w:line="259" w:lineRule="auto"/>
              <w:ind w:left="5" w:firstLine="0"/>
              <w:jc w:val="left"/>
            </w:pPr>
          </w:p>
          <w:p w:rsidR="00C60952" w:rsidRDefault="00C60952" w:rsidP="00F2456C">
            <w:pPr>
              <w:spacing w:line="259" w:lineRule="auto"/>
              <w:ind w:left="7" w:firstLine="0"/>
            </w:pPr>
            <w:r>
              <w:rPr>
                <w:sz w:val="16"/>
              </w:rPr>
              <w:t xml:space="preserve">CFR </w:t>
            </w:r>
          </w:p>
          <w:p w:rsidR="00C60952" w:rsidRDefault="00C60952" w:rsidP="00F2456C">
            <w:pPr>
              <w:spacing w:line="259" w:lineRule="auto"/>
              <w:ind w:left="65" w:firstLine="0"/>
              <w:jc w:val="both"/>
            </w:pPr>
            <w:r>
              <w:rPr>
                <w:sz w:val="16"/>
              </w:rPr>
              <w:t>Reference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</w:pPr>
            <w:r>
              <w:rPr>
                <w:sz w:val="16"/>
              </w:rPr>
              <w:t>Type of Cost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after="289" w:line="259" w:lineRule="auto"/>
              <w:ind w:left="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0E59845B" wp14:editId="1B374032">
                  <wp:simplePos x="0" y="0"/>
                  <wp:positionH relativeFrom="column">
                    <wp:posOffset>14961</wp:posOffset>
                  </wp:positionH>
                  <wp:positionV relativeFrom="paragraph">
                    <wp:posOffset>60579</wp:posOffset>
                  </wp:positionV>
                  <wp:extent cx="286385" cy="254635"/>
                  <wp:effectExtent l="0" t="0" r="0" b="0"/>
                  <wp:wrapSquare wrapText="bothSides"/>
                  <wp:docPr id="5100" name="Picture 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" name="Picture 5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156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  </w:t>
            </w:r>
            <w:r>
              <w:t>Allowable as a Direct Cost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after="124" w:line="259" w:lineRule="auto"/>
              <w:ind w:left="7" w:right="3386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31A68D4A" wp14:editId="5D872287">
                  <wp:simplePos x="0" y="0"/>
                  <wp:positionH relativeFrom="column">
                    <wp:posOffset>29464</wp:posOffset>
                  </wp:positionH>
                  <wp:positionV relativeFrom="paragraph">
                    <wp:posOffset>96267</wp:posOffset>
                  </wp:positionV>
                  <wp:extent cx="214630" cy="191135"/>
                  <wp:effectExtent l="0" t="0" r="0" b="0"/>
                  <wp:wrapSquare wrapText="bothSides"/>
                  <wp:docPr id="5102" name="Picture 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" name="Picture 5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132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 </w:t>
            </w:r>
            <w:r>
              <w:t>Unallowable as a Direct Cost</w:t>
            </w:r>
            <w:r>
              <w:rPr>
                <w:b w:val="0"/>
              </w:rPr>
              <w:t xml:space="preserve"> </w:t>
            </w:r>
          </w:p>
        </w:tc>
      </w:tr>
      <w:tr w:rsidR="00C60952" w:rsidTr="00360ADA">
        <w:trPr>
          <w:trHeight w:val="2249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452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30" w:line="259" w:lineRule="auto"/>
              <w:ind w:left="7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sz w:val="16"/>
              </w:rPr>
              <w:t>Maintenance &amp; Repair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60952" w:rsidRDefault="00C60952" w:rsidP="00F2456C">
            <w:pPr>
              <w:spacing w:line="258" w:lineRule="auto"/>
              <w:ind w:left="156" w:hanging="17"/>
              <w:jc w:val="both"/>
            </w:pPr>
            <w:r>
              <w:rPr>
                <w:b w:val="0"/>
                <w:sz w:val="16"/>
              </w:rPr>
              <w:t xml:space="preserve">Allowable as a direct cost as necessary to carry out the technical and scientific aspects of and </w:t>
            </w:r>
            <w:r>
              <w:rPr>
                <w:b w:val="0"/>
                <w:sz w:val="16"/>
                <w:u w:val="single" w:color="000000"/>
              </w:rPr>
              <w:t xml:space="preserve">actually used for </w:t>
            </w: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66" w:firstLine="0"/>
            </w:pPr>
            <w:r>
              <w:rPr>
                <w:b w:val="0"/>
                <w:sz w:val="16"/>
                <w:u w:val="single" w:color="000000"/>
              </w:rPr>
              <w:t>the performance of a sponsored project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C60952" w:rsidRDefault="00C60952" w:rsidP="00F2456C">
            <w:pPr>
              <w:spacing w:after="2" w:line="255" w:lineRule="auto"/>
              <w:ind w:left="24" w:firstLine="0"/>
            </w:pPr>
            <w:r>
              <w:rPr>
                <w:b w:val="0"/>
                <w:sz w:val="16"/>
              </w:rPr>
              <w:t xml:space="preserve">Unallowable for costs incurred for necessary maintenance, repair, or upkeep of buildings and </w:t>
            </w:r>
          </w:p>
          <w:p w:rsidR="00C60952" w:rsidRDefault="00C60952" w:rsidP="00F2456C">
            <w:pPr>
              <w:spacing w:line="259" w:lineRule="auto"/>
              <w:ind w:left="30" w:firstLine="0"/>
            </w:pPr>
            <w:r>
              <w:rPr>
                <w:b w:val="0"/>
                <w:sz w:val="16"/>
              </w:rPr>
              <w:t xml:space="preserve">equipment which neither add to the permanent value </w:t>
            </w:r>
          </w:p>
          <w:p w:rsidR="00C60952" w:rsidRDefault="00C60952" w:rsidP="00F2456C">
            <w:pPr>
              <w:spacing w:line="258" w:lineRule="auto"/>
              <w:ind w:left="100" w:right="33" w:hanging="4"/>
            </w:pPr>
            <w:r>
              <w:rPr>
                <w:b w:val="0"/>
                <w:sz w:val="16"/>
              </w:rPr>
              <w:t xml:space="preserve">of the property nor appreciably prolong its intended life, but keep it in an efficient operating condition (Generally F&amp;A). *Costs incurred for improvements which add to the permanent value of buildings and </w:t>
            </w:r>
          </w:p>
          <w:p w:rsidR="00C60952" w:rsidRDefault="00C60952" w:rsidP="00F2456C">
            <w:pPr>
              <w:spacing w:line="259" w:lineRule="auto"/>
              <w:ind w:left="51" w:firstLine="0"/>
            </w:pPr>
            <w:r>
              <w:rPr>
                <w:b w:val="0"/>
                <w:sz w:val="16"/>
              </w:rPr>
              <w:t xml:space="preserve">equipment or appreciably prolong their intended life shall be treated as capital expenditures. </w:t>
            </w:r>
          </w:p>
        </w:tc>
      </w:tr>
      <w:tr w:rsidR="00C60952" w:rsidTr="00360ADA">
        <w:trPr>
          <w:trHeight w:val="636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453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7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5" w:firstLine="0"/>
            </w:pPr>
            <w:r>
              <w:rPr>
                <w:sz w:val="16"/>
              </w:rPr>
              <w:t>Material &amp; Supplies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7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Allowable as a direct cost when necessary, and actually used, for the performance of a sponsored project.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7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Generally Unallowable for routine office supplies &amp; postage </w:t>
            </w:r>
          </w:p>
        </w:tc>
      </w:tr>
      <w:tr w:rsidR="00C60952" w:rsidTr="00360ADA">
        <w:trPr>
          <w:trHeight w:val="132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15"/>
              </w:rPr>
              <w:lastRenderedPageBreak/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432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5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1" w:firstLine="0"/>
            </w:pPr>
            <w:r>
              <w:rPr>
                <w:sz w:val="16"/>
              </w:rPr>
              <w:t>Conferences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" w:line="259" w:lineRule="auto"/>
              <w:ind w:left="7" w:firstLine="0"/>
              <w:jc w:val="left"/>
            </w:pPr>
            <w:r>
              <w:rPr>
                <w:b w:val="0"/>
                <w:sz w:val="13"/>
              </w:rPr>
              <w:t xml:space="preserve"> </w:t>
            </w:r>
          </w:p>
          <w:p w:rsidR="00C60952" w:rsidRDefault="00C60952" w:rsidP="00F2456C">
            <w:pPr>
              <w:spacing w:line="258" w:lineRule="auto"/>
              <w:ind w:left="0" w:firstLine="0"/>
            </w:pPr>
            <w:r>
              <w:rPr>
                <w:b w:val="0"/>
                <w:sz w:val="16"/>
              </w:rPr>
              <w:t xml:space="preserve">Allowable when the primary purpose is the dissemination of technical information directly related to the project. </w:t>
            </w:r>
          </w:p>
          <w:p w:rsidR="00C60952" w:rsidRDefault="00C60952" w:rsidP="00F2456C">
            <w:pPr>
              <w:spacing w:line="259" w:lineRule="auto"/>
              <w:ind w:left="19" w:firstLine="0"/>
            </w:pPr>
            <w:r>
              <w:rPr>
                <w:b w:val="0"/>
                <w:sz w:val="16"/>
              </w:rPr>
              <w:t xml:space="preserve">This includes costs of meals, transportation, rental of facilities, speakers' fees, and other items incidental to such meetings or conferences.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5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-14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6" w:firstLine="0"/>
            </w:pPr>
            <w:r>
              <w:rPr>
                <w:b w:val="0"/>
                <w:sz w:val="16"/>
              </w:rPr>
              <w:t xml:space="preserve">"Entertainment costs" are unallowable (see above) </w:t>
            </w:r>
          </w:p>
        </w:tc>
      </w:tr>
      <w:tr w:rsidR="00C60952" w:rsidTr="00360ADA">
        <w:trPr>
          <w:trHeight w:val="176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454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31" w:firstLine="0"/>
            </w:pPr>
            <w:r>
              <w:rPr>
                <w:sz w:val="16"/>
              </w:rPr>
              <w:t xml:space="preserve">Memberships, </w:t>
            </w:r>
          </w:p>
          <w:p w:rsidR="00C60952" w:rsidRDefault="00C60952" w:rsidP="00F2456C">
            <w:pPr>
              <w:spacing w:line="259" w:lineRule="auto"/>
              <w:ind w:left="24" w:firstLine="0"/>
            </w:pPr>
            <w:r>
              <w:rPr>
                <w:sz w:val="16"/>
              </w:rPr>
              <w:t xml:space="preserve">Subscriptions &amp; </w:t>
            </w:r>
          </w:p>
          <w:p w:rsidR="00C60952" w:rsidRDefault="00C60952" w:rsidP="00F2456C">
            <w:pPr>
              <w:spacing w:line="259" w:lineRule="auto"/>
              <w:ind w:left="31" w:firstLine="0"/>
            </w:pPr>
            <w:r>
              <w:rPr>
                <w:sz w:val="16"/>
              </w:rPr>
              <w:t>Professional Activity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8" w:lineRule="auto"/>
              <w:ind w:left="908" w:right="879" w:firstLine="154"/>
              <w:jc w:val="both"/>
            </w:pPr>
            <w:r>
              <w:rPr>
                <w:b w:val="0"/>
                <w:i/>
                <w:sz w:val="16"/>
              </w:rPr>
              <w:t xml:space="preserve">Generally </w:t>
            </w:r>
            <w:r>
              <w:rPr>
                <w:b w:val="0"/>
                <w:sz w:val="16"/>
              </w:rPr>
              <w:t xml:space="preserve">unallowable as a direct cost (considered F&amp;A). </w:t>
            </w:r>
          </w:p>
          <w:p w:rsidR="00C60952" w:rsidRDefault="00C60952" w:rsidP="00F2456C">
            <w:pPr>
              <w:spacing w:line="259" w:lineRule="auto"/>
              <w:ind w:left="62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  <w:p w:rsidR="00C60952" w:rsidRDefault="00C60952" w:rsidP="00F2456C">
            <w:pPr>
              <w:spacing w:line="258" w:lineRule="auto"/>
              <w:ind w:left="0" w:firstLine="0"/>
            </w:pPr>
            <w:r>
              <w:rPr>
                <w:b w:val="0"/>
                <w:sz w:val="16"/>
              </w:rPr>
              <w:t xml:space="preserve">Costs of membership in any civic or community organization, country club or social or dining club or </w:t>
            </w:r>
          </w:p>
          <w:p w:rsidR="00C60952" w:rsidRDefault="00C60952" w:rsidP="00F2456C">
            <w:pPr>
              <w:spacing w:line="259" w:lineRule="auto"/>
              <w:ind w:left="125" w:firstLine="0"/>
              <w:jc w:val="left"/>
            </w:pPr>
            <w:r>
              <w:rPr>
                <w:b w:val="0"/>
                <w:sz w:val="16"/>
              </w:rPr>
              <w:t xml:space="preserve">organization are unallowable.  Costs of the institution's </w:t>
            </w:r>
          </w:p>
          <w:p w:rsidR="00C60952" w:rsidRDefault="00C60952" w:rsidP="00F2456C">
            <w:pPr>
              <w:spacing w:after="2" w:line="255" w:lineRule="auto"/>
              <w:ind w:left="0" w:firstLine="0"/>
            </w:pPr>
            <w:r>
              <w:rPr>
                <w:b w:val="0"/>
                <w:sz w:val="16"/>
              </w:rPr>
              <w:t xml:space="preserve">membership in business, technical and professional organizations AND costs of the institutions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subscriptions to business, professional &amp; technical periodicals are generally considered F&amp;A costs. </w:t>
            </w:r>
          </w:p>
        </w:tc>
      </w:tr>
      <w:tr w:rsidR="00C60952" w:rsidTr="00360ADA">
        <w:trPr>
          <w:trHeight w:val="44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448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141" w:firstLine="0"/>
            </w:pPr>
            <w:r>
              <w:rPr>
                <w:sz w:val="16"/>
              </w:rPr>
              <w:t>Patent Costs (Intellectual Property)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952" w:rsidRDefault="00C60952" w:rsidP="00F2456C">
            <w:pPr>
              <w:spacing w:line="259" w:lineRule="auto"/>
              <w:ind w:left="22" w:firstLine="0"/>
            </w:pPr>
            <w:r>
              <w:rPr>
                <w:b w:val="0"/>
                <w:sz w:val="16"/>
              </w:rPr>
              <w:t xml:space="preserve">Allowable if required by the sponsored agreement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952" w:rsidRDefault="00C60952" w:rsidP="00F2456C">
            <w:pPr>
              <w:spacing w:line="259" w:lineRule="auto"/>
              <w:ind w:left="1298" w:firstLine="0"/>
              <w:jc w:val="left"/>
            </w:pPr>
            <w:r>
              <w:rPr>
                <w:b w:val="0"/>
                <w:sz w:val="16"/>
              </w:rPr>
              <w:t xml:space="preserve">Unallowable for foreign patents </w:t>
            </w:r>
          </w:p>
        </w:tc>
      </w:tr>
      <w:tr w:rsidR="00C60952" w:rsidTr="00360ADA">
        <w:trPr>
          <w:trHeight w:val="425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5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459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43" w:firstLine="0"/>
            </w:pPr>
            <w:r>
              <w:rPr>
                <w:sz w:val="16"/>
              </w:rPr>
              <w:t>Professional Service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84" w:hanging="529"/>
              <w:jc w:val="both"/>
            </w:pPr>
            <w:r>
              <w:rPr>
                <w:b w:val="0"/>
                <w:sz w:val="16"/>
              </w:rPr>
              <w:t xml:space="preserve">Allowable when in accordance with CFR 200, 200.435 and in compliance with university policy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7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96" w:firstLine="0"/>
              <w:jc w:val="left"/>
            </w:pPr>
            <w:r>
              <w:rPr>
                <w:b w:val="0"/>
                <w:sz w:val="16"/>
              </w:rPr>
              <w:t xml:space="preserve">Unallowable for officers or employees of the institution </w:t>
            </w:r>
          </w:p>
        </w:tc>
      </w:tr>
      <w:tr w:rsidR="00C60952" w:rsidTr="00360ADA">
        <w:trPr>
          <w:trHeight w:val="211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460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4" w:firstLine="0"/>
            </w:pPr>
            <w:r>
              <w:rPr>
                <w:sz w:val="16"/>
              </w:rPr>
              <w:t>Proposal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8" w:firstLine="0"/>
            </w:pPr>
            <w:r>
              <w:rPr>
                <w:sz w:val="16"/>
              </w:rPr>
              <w:t>Unallowable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8" w:firstLine="0"/>
            </w:pPr>
            <w:r>
              <w:rPr>
                <w:sz w:val="16"/>
              </w:rPr>
              <w:t>Unallowable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C60952" w:rsidTr="00360ADA">
        <w:trPr>
          <w:trHeight w:val="154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 xml:space="preserve">461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sz w:val="16"/>
              </w:rPr>
              <w:t>Publication &amp; Printing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  <w:p w:rsidR="00C60952" w:rsidRDefault="00C60952" w:rsidP="00F2456C">
            <w:pPr>
              <w:spacing w:line="258" w:lineRule="auto"/>
              <w:ind w:left="0" w:firstLine="0"/>
            </w:pPr>
            <w:r>
              <w:rPr>
                <w:b w:val="0"/>
                <w:sz w:val="16"/>
              </w:rPr>
              <w:t xml:space="preserve">Allowable if the costs can be </w:t>
            </w:r>
            <w:r>
              <w:rPr>
                <w:sz w:val="16"/>
              </w:rPr>
              <w:t>identified with a research project</w:t>
            </w:r>
            <w:r>
              <w:rPr>
                <w:b w:val="0"/>
                <w:sz w:val="16"/>
              </w:rPr>
              <w:t xml:space="preserve">. If the cost is for page charges, the charges are allowable for professional journals if the work is </w:t>
            </w:r>
          </w:p>
          <w:p w:rsidR="00C60952" w:rsidRDefault="00C60952" w:rsidP="00F2456C">
            <w:pPr>
              <w:spacing w:line="259" w:lineRule="auto"/>
              <w:ind w:left="31" w:firstLine="0"/>
            </w:pPr>
            <w:r>
              <w:rPr>
                <w:b w:val="0"/>
                <w:sz w:val="16"/>
              </w:rPr>
              <w:t xml:space="preserve">supported by the Federal Government and the charges are levied impartially on all research papers published, not just those funded by federally sponsored authors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Generally unallowable for routine copying and postage (considered F&amp;A).  </w:t>
            </w:r>
          </w:p>
        </w:tc>
      </w:tr>
      <w:tr w:rsidR="00C60952" w:rsidTr="00360ADA">
        <w:trPr>
          <w:trHeight w:val="636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462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4" w:firstLine="0"/>
            </w:pPr>
            <w:r>
              <w:rPr>
                <w:sz w:val="16"/>
              </w:rPr>
              <w:t xml:space="preserve">Rearrangement </w:t>
            </w:r>
          </w:p>
          <w:p w:rsidR="00C60952" w:rsidRDefault="00C60952" w:rsidP="00F2456C">
            <w:pPr>
              <w:spacing w:line="259" w:lineRule="auto"/>
              <w:ind w:left="166" w:right="106" w:firstLine="0"/>
            </w:pPr>
            <w:r>
              <w:rPr>
                <w:sz w:val="16"/>
              </w:rPr>
              <w:t>&amp;  Reconversion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7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Allowable with prior approval of the awarding agency when incurred specifically for the sponsored project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7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Unallowable for costs incurred for ordinary or normal rearrangement and alteration of facilities </w:t>
            </w:r>
          </w:p>
        </w:tc>
      </w:tr>
      <w:tr w:rsidR="00C60952" w:rsidTr="00360ADA">
        <w:trPr>
          <w:trHeight w:val="64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5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6" w:firstLine="0"/>
            </w:pPr>
            <w:r>
              <w:rPr>
                <w:sz w:val="16"/>
              </w:rPr>
              <w:t>463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7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4" w:firstLine="0"/>
            </w:pPr>
            <w:r>
              <w:rPr>
                <w:sz w:val="16"/>
              </w:rPr>
              <w:t>Recruiting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131" w:right="62" w:hanging="42"/>
            </w:pPr>
            <w:r>
              <w:rPr>
                <w:b w:val="0"/>
                <w:sz w:val="16"/>
              </w:rPr>
              <w:t xml:space="preserve">Allowable when related to and necessary for the project and if reasonable (color ads are not considered reasonable)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Advertising which includes color, material for other than recruitment purposes, or which is excessive in size is unallowable. </w:t>
            </w:r>
          </w:p>
        </w:tc>
      </w:tr>
    </w:tbl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tbl>
      <w:tblPr>
        <w:tblStyle w:val="TableGrid"/>
        <w:tblW w:w="10113" w:type="dxa"/>
        <w:jc w:val="center"/>
        <w:tblInd w:w="0" w:type="dxa"/>
        <w:tblCellMar>
          <w:top w:w="13" w:type="dxa"/>
          <w:left w:w="5" w:type="dxa"/>
        </w:tblCellMar>
        <w:tblLook w:val="04A0" w:firstRow="1" w:lastRow="0" w:firstColumn="1" w:lastColumn="0" w:noHBand="0" w:noVBand="1"/>
      </w:tblPr>
      <w:tblGrid>
        <w:gridCol w:w="810"/>
        <w:gridCol w:w="1752"/>
        <w:gridCol w:w="3776"/>
        <w:gridCol w:w="3775"/>
      </w:tblGrid>
      <w:tr w:rsidR="00C60952" w:rsidTr="00360ADA">
        <w:trPr>
          <w:trHeight w:val="63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after="27" w:line="259" w:lineRule="auto"/>
              <w:ind w:left="0" w:firstLine="0"/>
              <w:jc w:val="left"/>
            </w:pPr>
          </w:p>
          <w:p w:rsidR="00C60952" w:rsidRDefault="00C60952" w:rsidP="00F2456C">
            <w:pPr>
              <w:spacing w:line="259" w:lineRule="auto"/>
              <w:ind w:left="0" w:right="3" w:firstLine="0"/>
            </w:pPr>
            <w:r>
              <w:rPr>
                <w:sz w:val="16"/>
              </w:rPr>
              <w:t xml:space="preserve">CFR </w:t>
            </w:r>
          </w:p>
          <w:p w:rsidR="00C60952" w:rsidRDefault="00C60952" w:rsidP="00F2456C">
            <w:pPr>
              <w:spacing w:line="259" w:lineRule="auto"/>
              <w:ind w:left="60" w:firstLine="0"/>
              <w:jc w:val="both"/>
            </w:pPr>
            <w:r>
              <w:rPr>
                <w:sz w:val="16"/>
              </w:rPr>
              <w:t>Reference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5" w:firstLine="0"/>
            </w:pPr>
            <w:r>
              <w:rPr>
                <w:sz w:val="16"/>
              </w:rPr>
              <w:t>Type of Cost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after="292" w:line="259" w:lineRule="auto"/>
              <w:ind w:left="2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76162BE4" wp14:editId="4B9EC4EF">
                  <wp:simplePos x="0" y="0"/>
                  <wp:positionH relativeFrom="column">
                    <wp:posOffset>14961</wp:posOffset>
                  </wp:positionH>
                  <wp:positionV relativeFrom="paragraph">
                    <wp:posOffset>61595</wp:posOffset>
                  </wp:positionV>
                  <wp:extent cx="286385" cy="254635"/>
                  <wp:effectExtent l="0" t="0" r="0" b="0"/>
                  <wp:wrapSquare wrapText="bothSides"/>
                  <wp:docPr id="7229" name="Picture 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9" name="Picture 7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166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  </w:t>
            </w:r>
            <w:r>
              <w:t>Allowable as a Direct Cost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</w:tcPr>
          <w:p w:rsidR="00C60952" w:rsidRDefault="00C60952" w:rsidP="00F2456C">
            <w:pPr>
              <w:spacing w:after="126" w:line="259" w:lineRule="auto"/>
              <w:ind w:left="2" w:right="339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24F5EF73" wp14:editId="09EFD477">
                  <wp:simplePos x="0" y="0"/>
                  <wp:positionH relativeFrom="column">
                    <wp:posOffset>29464</wp:posOffset>
                  </wp:positionH>
                  <wp:positionV relativeFrom="paragraph">
                    <wp:posOffset>97282</wp:posOffset>
                  </wp:positionV>
                  <wp:extent cx="214630" cy="191135"/>
                  <wp:effectExtent l="0" t="0" r="0" b="0"/>
                  <wp:wrapSquare wrapText="bothSides"/>
                  <wp:docPr id="7231" name="Picture 7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1" name="Picture 7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142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 </w:t>
            </w:r>
            <w:r>
              <w:t>Unallowable as a Direct Cost</w:t>
            </w:r>
            <w:r>
              <w:rPr>
                <w:b w:val="0"/>
              </w:rPr>
              <w:t xml:space="preserve"> </w:t>
            </w:r>
          </w:p>
        </w:tc>
      </w:tr>
      <w:tr w:rsidR="00C60952" w:rsidTr="00360ADA">
        <w:trPr>
          <w:trHeight w:val="862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14" w:line="259" w:lineRule="auto"/>
              <w:ind w:left="0" w:firstLine="0"/>
              <w:jc w:val="left"/>
            </w:pPr>
            <w:r>
              <w:rPr>
                <w:b w:val="0"/>
                <w:sz w:val="13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465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17" w:line="259" w:lineRule="auto"/>
              <w:ind w:left="2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4" w:firstLine="0"/>
            </w:pPr>
            <w:r>
              <w:rPr>
                <w:sz w:val="16"/>
              </w:rPr>
              <w:t xml:space="preserve">Rental Costs of </w:t>
            </w:r>
          </w:p>
          <w:p w:rsidR="00C60952" w:rsidRDefault="00C60952" w:rsidP="00F2456C">
            <w:pPr>
              <w:spacing w:line="259" w:lineRule="auto"/>
              <w:ind w:left="14" w:firstLine="0"/>
            </w:pPr>
            <w:r>
              <w:rPr>
                <w:sz w:val="16"/>
              </w:rPr>
              <w:t xml:space="preserve">Buildings and </w:t>
            </w:r>
          </w:p>
          <w:p w:rsidR="00C60952" w:rsidRDefault="00C60952" w:rsidP="00F2456C">
            <w:pPr>
              <w:spacing w:line="259" w:lineRule="auto"/>
              <w:ind w:left="19" w:firstLine="0"/>
            </w:pPr>
            <w:r>
              <w:rPr>
                <w:sz w:val="16"/>
              </w:rPr>
              <w:t>Equipment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17" w:line="259" w:lineRule="auto"/>
              <w:ind w:left="2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>Allowable for reasonable costs (</w:t>
            </w:r>
            <w:r>
              <w:rPr>
                <w:b w:val="0"/>
                <w:i/>
                <w:sz w:val="16"/>
              </w:rPr>
              <w:t>when incurred specifically for the sponsored project.)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17" w:line="259" w:lineRule="auto"/>
              <w:ind w:left="2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3" w:firstLine="0"/>
            </w:pPr>
            <w:r>
              <w:rPr>
                <w:b w:val="0"/>
                <w:sz w:val="16"/>
              </w:rPr>
              <w:t xml:space="preserve">Unallowable costs include amounts paid for profit, mgmt fees, and taxes that would not have been incurred had the institution purchased the facility. </w:t>
            </w:r>
          </w:p>
        </w:tc>
      </w:tr>
      <w:tr w:rsidR="00C60952" w:rsidTr="00360ADA">
        <w:trPr>
          <w:trHeight w:val="1303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6" w:line="259" w:lineRule="auto"/>
              <w:ind w:left="0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448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" w:line="259" w:lineRule="auto"/>
              <w:ind w:left="2" w:firstLine="0"/>
              <w:jc w:val="left"/>
            </w:pPr>
            <w:r>
              <w:rPr>
                <w:b w:val="0"/>
                <w:sz w:val="13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 xml:space="preserve">Royalties and </w:t>
            </w:r>
          </w:p>
          <w:p w:rsidR="00C60952" w:rsidRDefault="00C60952" w:rsidP="00F2456C">
            <w:pPr>
              <w:spacing w:line="259" w:lineRule="auto"/>
              <w:ind w:left="11" w:firstLine="0"/>
            </w:pPr>
            <w:r>
              <w:rPr>
                <w:sz w:val="16"/>
              </w:rPr>
              <w:t xml:space="preserve">Other Costs for </w:t>
            </w:r>
          </w:p>
          <w:p w:rsidR="00C60952" w:rsidRDefault="00C60952" w:rsidP="00F2456C">
            <w:pPr>
              <w:spacing w:line="259" w:lineRule="auto"/>
              <w:ind w:left="13" w:firstLine="0"/>
            </w:pPr>
            <w:r>
              <w:rPr>
                <w:sz w:val="16"/>
              </w:rPr>
              <w:t xml:space="preserve">Use of Patents </w:t>
            </w:r>
          </w:p>
          <w:p w:rsidR="00C60952" w:rsidRDefault="00C60952" w:rsidP="00F2456C">
            <w:pPr>
              <w:spacing w:line="259" w:lineRule="auto"/>
              <w:ind w:left="162" w:right="112" w:firstLine="0"/>
            </w:pPr>
            <w:r>
              <w:rPr>
                <w:sz w:val="16"/>
              </w:rPr>
              <w:t>(Intellectual property)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Allowable when necessary for the performance of the sponsored project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19" w:line="259" w:lineRule="auto"/>
              <w:ind w:left="2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  <w:p w:rsidR="00C60952" w:rsidRDefault="00C60952" w:rsidP="00F2456C">
            <w:pPr>
              <w:spacing w:after="2" w:line="255" w:lineRule="auto"/>
              <w:ind w:left="0" w:firstLine="0"/>
            </w:pPr>
            <w:r>
              <w:rPr>
                <w:b w:val="0"/>
                <w:sz w:val="16"/>
              </w:rPr>
              <w:t xml:space="preserve">Unallowable when the Federal Government has a license or the right to free use of the patent or copyright; or </w:t>
            </w:r>
          </w:p>
          <w:p w:rsidR="00C60952" w:rsidRDefault="00C60952" w:rsidP="00F2456C">
            <w:pPr>
              <w:spacing w:line="259" w:lineRule="auto"/>
              <w:ind w:left="55" w:right="32" w:firstLine="0"/>
              <w:jc w:val="both"/>
            </w:pPr>
            <w:r>
              <w:rPr>
                <w:b w:val="0"/>
                <w:sz w:val="16"/>
              </w:rPr>
              <w:t xml:space="preserve">when the patent or copyright has been adjudicated to be invalid, has been administratively determined to be invalid, is considered to be unenforceable, or has expired </w:t>
            </w:r>
          </w:p>
        </w:tc>
      </w:tr>
      <w:tr w:rsidR="00C60952" w:rsidTr="00360ADA">
        <w:trPr>
          <w:trHeight w:val="847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39" w:line="259" w:lineRule="auto"/>
              <w:ind w:left="0" w:firstLine="0"/>
              <w:jc w:val="left"/>
            </w:pPr>
            <w:r>
              <w:rPr>
                <w:b w:val="0"/>
                <w:sz w:val="11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466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6" w:firstLine="0"/>
            </w:pPr>
            <w:r>
              <w:rPr>
                <w:sz w:val="16"/>
              </w:rPr>
              <w:t>Scholarships and</w:t>
            </w:r>
            <w:r>
              <w:rPr>
                <w:b w:val="0"/>
                <w:sz w:val="16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9" w:firstLine="0"/>
            </w:pPr>
            <w:r>
              <w:rPr>
                <w:sz w:val="16"/>
              </w:rPr>
              <w:t>Student Aid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8" w:lineRule="auto"/>
              <w:ind w:left="0" w:firstLine="2"/>
            </w:pPr>
            <w:r>
              <w:rPr>
                <w:b w:val="0"/>
                <w:sz w:val="16"/>
              </w:rPr>
              <w:t xml:space="preserve">Allowable only when the purpose of the sponsored agreement is to provide training to selected participants and the charge is approved by the sponsoring agency. </w:t>
            </w:r>
          </w:p>
          <w:p w:rsidR="00C60952" w:rsidRDefault="00C60952" w:rsidP="00F2456C">
            <w:pPr>
              <w:spacing w:line="259" w:lineRule="auto"/>
              <w:ind w:left="23" w:firstLine="0"/>
            </w:pPr>
            <w:r>
              <w:rPr>
                <w:b w:val="0"/>
                <w:sz w:val="16"/>
              </w:rPr>
              <w:t xml:space="preserve">Stipulations apply.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0" w:right="-3" w:firstLine="0"/>
              <w:jc w:val="right"/>
            </w:pPr>
            <w:r>
              <w:rPr>
                <w:sz w:val="16"/>
              </w:rPr>
              <w:t xml:space="preserve">                                                   </w:t>
            </w:r>
          </w:p>
        </w:tc>
      </w:tr>
      <w:tr w:rsidR="00C60952" w:rsidTr="00360ADA">
        <w:trPr>
          <w:trHeight w:val="367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469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0" w:right="70" w:firstLine="0"/>
              <w:jc w:val="right"/>
            </w:pPr>
            <w:r>
              <w:rPr>
                <w:sz w:val="16"/>
              </w:rPr>
              <w:t>Student Activity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18" w:firstLine="0"/>
            </w:pPr>
            <w:r>
              <w:rPr>
                <w:sz w:val="16"/>
              </w:rPr>
              <w:t>Unallowable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19" w:firstLine="0"/>
            </w:pPr>
            <w:r>
              <w:rPr>
                <w:sz w:val="16"/>
              </w:rPr>
              <w:t>Unallowable</w:t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C60952" w:rsidTr="00360ADA">
        <w:trPr>
          <w:trHeight w:val="100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16" w:lineRule="auto"/>
              <w:ind w:left="0" w:right="759" w:firstLine="0"/>
              <w:jc w:val="left"/>
            </w:pP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471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5" w:firstLine="0"/>
            </w:pPr>
            <w:r>
              <w:rPr>
                <w:sz w:val="16"/>
              </w:rPr>
              <w:t xml:space="preserve">Termination Costs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sz w:val="16"/>
              </w:rPr>
              <w:t>Applicable to Sponsored Agreements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46" w:right="56" w:hanging="72"/>
              <w:jc w:val="both"/>
            </w:pPr>
            <w:r>
              <w:rPr>
                <w:b w:val="0"/>
                <w:sz w:val="16"/>
              </w:rPr>
              <w:t xml:space="preserve">Allowable for costs which would not have arisen had the sponsored agreement not been terminated, provided they meet the requirements of OMB A-21, Section J50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7" w:firstLine="0"/>
            </w:pPr>
            <w:r>
              <w:rPr>
                <w:b w:val="0"/>
                <w:sz w:val="16"/>
              </w:rPr>
              <w:t xml:space="preserve">Unallowable for any costs continuing after termination due to the negligent or willful failure of the institution to discontinue such costs. </w:t>
            </w:r>
          </w:p>
        </w:tc>
      </w:tr>
      <w:tr w:rsidR="00C60952" w:rsidTr="00360ADA">
        <w:trPr>
          <w:trHeight w:val="574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0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472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40" w:line="259" w:lineRule="auto"/>
              <w:ind w:left="2" w:firstLine="0"/>
              <w:jc w:val="left"/>
            </w:pPr>
            <w:r>
              <w:rPr>
                <w:b w:val="0"/>
                <w:sz w:val="1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5" w:firstLine="0"/>
            </w:pPr>
            <w:r>
              <w:rPr>
                <w:sz w:val="16"/>
              </w:rPr>
              <w:t>Training &amp; Education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41" w:firstLine="0"/>
            </w:pPr>
            <w:r>
              <w:rPr>
                <w:b w:val="0"/>
                <w:sz w:val="16"/>
              </w:rPr>
              <w:t xml:space="preserve">Allowable for training provided for employee development for a specific sponsored project.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42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C60952" w:rsidTr="00360ADA">
        <w:trPr>
          <w:trHeight w:val="1015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473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sz w:val="16"/>
              </w:rPr>
              <w:t>Transportation (Freight)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Allowable for costs for freight, express, cartage, postage and other transportation services  when related to goods purchased, in process, or delivered (must be project- specific).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18" w:firstLine="0"/>
            </w:pPr>
            <w:r>
              <w:rPr>
                <w:b w:val="0"/>
                <w:sz w:val="16"/>
              </w:rPr>
              <w:t xml:space="preserve">Unallowable for routine/general postage </w:t>
            </w:r>
          </w:p>
        </w:tc>
      </w:tr>
      <w:tr w:rsidR="00C60952" w:rsidTr="00360ADA">
        <w:trPr>
          <w:trHeight w:val="1484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16" w:firstLine="0"/>
            </w:pPr>
            <w:r>
              <w:rPr>
                <w:sz w:val="16"/>
              </w:rPr>
              <w:t>474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right="9" w:firstLine="0"/>
            </w:pPr>
            <w:r>
              <w:rPr>
                <w:sz w:val="16"/>
              </w:rPr>
              <w:t>Travel Costs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2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60952" w:rsidRDefault="00C60952" w:rsidP="00F2456C">
            <w:pPr>
              <w:spacing w:line="259" w:lineRule="auto"/>
              <w:ind w:left="0" w:firstLine="0"/>
            </w:pPr>
            <w:r>
              <w:rPr>
                <w:b w:val="0"/>
                <w:sz w:val="16"/>
              </w:rPr>
              <w:t xml:space="preserve">Allowable for transportation, lodging, subsistence and related items for employees who are in travel status on project-specific business, subject to University policy 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52" w:rsidRDefault="00C60952" w:rsidP="00F2456C">
            <w:pPr>
              <w:spacing w:after="30" w:line="259" w:lineRule="auto"/>
              <w:ind w:left="2" w:firstLine="0"/>
              <w:jc w:val="left"/>
            </w:pPr>
            <w:r>
              <w:rPr>
                <w:b w:val="0"/>
                <w:sz w:val="11"/>
              </w:rPr>
              <w:t xml:space="preserve"> </w:t>
            </w:r>
          </w:p>
          <w:p w:rsidR="00C60952" w:rsidRDefault="00C60952" w:rsidP="00F2456C">
            <w:pPr>
              <w:spacing w:after="1" w:line="257" w:lineRule="auto"/>
              <w:ind w:left="35" w:firstLine="0"/>
            </w:pPr>
            <w:r>
              <w:rPr>
                <w:b w:val="0"/>
                <w:sz w:val="16"/>
              </w:rPr>
              <w:t xml:space="preserve">Unreasonable travel costs (including airfare costs in excess of the lowest available commercial discount airfare except where justified &amp; documented) are </w:t>
            </w:r>
          </w:p>
          <w:p w:rsidR="00C60952" w:rsidRDefault="00C60952" w:rsidP="00F2456C">
            <w:pPr>
              <w:spacing w:line="259" w:lineRule="auto"/>
              <w:ind w:left="17" w:firstLine="0"/>
            </w:pPr>
            <w:r>
              <w:rPr>
                <w:b w:val="0"/>
                <w:sz w:val="16"/>
              </w:rPr>
              <w:t xml:space="preserve">unallowable. Non-employee travel unallowable unless </w:t>
            </w:r>
          </w:p>
          <w:p w:rsidR="00C60952" w:rsidRDefault="00C60952" w:rsidP="00F2456C">
            <w:pPr>
              <w:spacing w:line="259" w:lineRule="auto"/>
              <w:ind w:left="465" w:hanging="348"/>
              <w:jc w:val="both"/>
            </w:pPr>
            <w:r>
              <w:rPr>
                <w:b w:val="0"/>
                <w:sz w:val="16"/>
              </w:rPr>
              <w:t xml:space="preserve">related to OMB A-21, Section J2 or specifically required to fulfill the requirements of the solicitation. </w:t>
            </w:r>
          </w:p>
        </w:tc>
      </w:tr>
    </w:tbl>
    <w:p w:rsidR="00C60952" w:rsidRDefault="00C60952" w:rsidP="00C60952">
      <w:pPr>
        <w:jc w:val="left"/>
      </w:pPr>
      <w:r>
        <w:t xml:space="preserve">   </w:t>
      </w:r>
    </w:p>
    <w:p w:rsidR="00C60952" w:rsidRDefault="00C60952" w:rsidP="00C60952">
      <w:pPr>
        <w:jc w:val="left"/>
      </w:pPr>
    </w:p>
    <w:p w:rsidR="00C60952" w:rsidRDefault="00C60952" w:rsidP="00C60952">
      <w:pPr>
        <w:jc w:val="left"/>
      </w:pPr>
    </w:p>
    <w:p w:rsidR="00C60952" w:rsidRDefault="00C60952" w:rsidP="00360ADA">
      <w:pPr>
        <w:jc w:val="left"/>
      </w:pPr>
      <w:r>
        <w:t>The “full list” is under</w:t>
      </w:r>
      <w:r>
        <w:rPr>
          <w:b w:val="0"/>
        </w:rPr>
        <w:t xml:space="preserve"> </w:t>
      </w:r>
      <w:r>
        <w:t>Title 2 in the Code of Federal Regulations (CFR 200), effective 1/19/2017</w:t>
      </w:r>
      <w:r>
        <w:rPr>
          <w:b w:val="0"/>
        </w:rPr>
        <w:t xml:space="preserve"> </w:t>
      </w:r>
      <w:hyperlink r:id="rId8">
        <w:r>
          <w:rPr>
            <w:b w:val="0"/>
            <w:color w:val="0000FF"/>
            <w:sz w:val="22"/>
          </w:rPr>
          <w:t>http://www.ecfr.gov/cgi</w:t>
        </w:r>
      </w:hyperlink>
      <w:hyperlink r:id="rId9">
        <w:r>
          <w:rPr>
            <w:b w:val="0"/>
            <w:color w:val="0000FF"/>
            <w:sz w:val="22"/>
          </w:rPr>
          <w:t>-</w:t>
        </w:r>
      </w:hyperlink>
      <w:hyperlink r:id="rId10">
        <w:r>
          <w:rPr>
            <w:b w:val="0"/>
            <w:color w:val="0000FF"/>
            <w:sz w:val="22"/>
          </w:rPr>
          <w:t>bin/text</w:t>
        </w:r>
      </w:hyperlink>
      <w:hyperlink r:id="rId11">
        <w:r>
          <w:rPr>
            <w:b w:val="0"/>
            <w:color w:val="0000FF"/>
            <w:sz w:val="22"/>
          </w:rPr>
          <w:t>-</w:t>
        </w:r>
      </w:hyperlink>
      <w:hyperlink r:id="rId12">
        <w:r>
          <w:rPr>
            <w:b w:val="0"/>
            <w:color w:val="0000FF"/>
            <w:sz w:val="22"/>
          </w:rPr>
          <w:t>idx?tpl=/ecfrbrowse/Title02/2cfr200_main_02.tpl</w:t>
        </w:r>
      </w:hyperlink>
    </w:p>
    <w:sectPr w:rsidR="00C60952" w:rsidSect="00C6095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52" w:rsidRDefault="00C60952" w:rsidP="00C60952">
      <w:pPr>
        <w:spacing w:line="240" w:lineRule="auto"/>
      </w:pPr>
      <w:r>
        <w:separator/>
      </w:r>
    </w:p>
  </w:endnote>
  <w:endnote w:type="continuationSeparator" w:id="0">
    <w:p w:rsidR="00C60952" w:rsidRDefault="00C60952" w:rsidP="00C60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52" w:rsidRDefault="00C60952" w:rsidP="00C60952">
      <w:pPr>
        <w:spacing w:line="240" w:lineRule="auto"/>
      </w:pPr>
      <w:r>
        <w:separator/>
      </w:r>
    </w:p>
  </w:footnote>
  <w:footnote w:type="continuationSeparator" w:id="0">
    <w:p w:rsidR="00C60952" w:rsidRDefault="00C60952" w:rsidP="00C609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52"/>
    <w:rsid w:val="00360ADA"/>
    <w:rsid w:val="0054693B"/>
    <w:rsid w:val="00C60952"/>
    <w:rsid w:val="00C91FC2"/>
    <w:rsid w:val="00DC3687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70C5C"/>
  <w15:chartTrackingRefBased/>
  <w15:docId w15:val="{818BFA02-712B-4C47-AC64-E1BC142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52"/>
    <w:pPr>
      <w:spacing w:after="0" w:line="238" w:lineRule="auto"/>
      <w:ind w:left="10" w:hanging="10"/>
      <w:jc w:val="center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09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52"/>
    <w:rPr>
      <w:rFonts w:ascii="Calibri" w:eastAsia="Calibri" w:hAnsi="Calibri" w:cs="Calibri"/>
      <w:b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60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52"/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tpl=/ecfrbrowse/Title02/2cfr200_main_02.t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cfr.gov/cgi-bin/text-idx?tpl=/ecfrbrowse/Title02/2cfr200_main_02.t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cfr.gov/cgi-bin/text-idx?tpl=/ecfrbrowse/Title02/2cfr200_main_02.t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cfr.gov/cgi-bin/text-idx?tpl=/ecfrbrowse/Title02/2cfr200_main_02.t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fr.gov/cgi-bin/text-idx?tpl=/ecfrbrowse/Title02/2cfr200_main_02.t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Ellen Byrd</dc:creator>
  <cp:keywords/>
  <dc:description/>
  <cp:lastModifiedBy>Adam Bradley</cp:lastModifiedBy>
  <cp:revision>3</cp:revision>
  <dcterms:created xsi:type="dcterms:W3CDTF">2018-10-05T21:59:00Z</dcterms:created>
  <dcterms:modified xsi:type="dcterms:W3CDTF">2018-10-05T22:12:00Z</dcterms:modified>
</cp:coreProperties>
</file>