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51" w:rsidRPr="00203751" w:rsidRDefault="00203751" w:rsidP="00203751">
      <w:pPr>
        <w:spacing w:after="0"/>
        <w:jc w:val="center"/>
        <w:rPr>
          <w:rFonts w:ascii="Times New Roman" w:hAnsi="Times New Roman" w:cs="Times New Roman"/>
          <w:b/>
          <w:sz w:val="28"/>
          <w:szCs w:val="28"/>
        </w:rPr>
      </w:pPr>
      <w:r w:rsidRPr="00203751">
        <w:rPr>
          <w:rFonts w:ascii="Times New Roman" w:hAnsi="Times New Roman" w:cs="Times New Roman"/>
          <w:b/>
          <w:sz w:val="28"/>
          <w:szCs w:val="28"/>
        </w:rPr>
        <w:t>Handling lead bricks or other solid lead-containing items without physically or chemically changing the items</w:t>
      </w:r>
    </w:p>
    <w:p w:rsidR="00203751" w:rsidRPr="00DD5FE4" w:rsidRDefault="00203751" w:rsidP="00203751">
      <w:pPr>
        <w:spacing w:after="0"/>
        <w:ind w:left="1080"/>
        <w:rPr>
          <w:rFonts w:ascii="Times New Roman" w:hAnsi="Times New Roman" w:cs="Times New Roman"/>
          <w:b/>
          <w:sz w:val="20"/>
          <w:szCs w:val="20"/>
        </w:rPr>
      </w:pPr>
    </w:p>
    <w:p w:rsidR="00203751" w:rsidRDefault="00203751" w:rsidP="00203751">
      <w:pPr>
        <w:rPr>
          <w:rFonts w:ascii="Times New Roman" w:hAnsi="Times New Roman" w:cs="Times New Roman"/>
        </w:rPr>
      </w:pPr>
      <w:r w:rsidRPr="00203751">
        <w:rPr>
          <w:rFonts w:ascii="Times New Roman" w:hAnsi="Times New Roman" w:cs="Times New Roman"/>
        </w:rPr>
        <w:t xml:space="preserve">It is unlikely that handling of lead bricks or similar materials would lead to worker exposure above the OSHA Action Level (30 micrograms per cubic meter of air averaged over an eight­ hour period). However, it is highly recommended that these materials be handled with appropriate PPE, specifically gloves and cover-up clothing.  The PPE should be used for no other purpose than handling the lead, be stored in a closed container, and disposed of as lead waste when no longer used.  Workers should be cognizant that any activities where lead materials are subject to abrasion, chemical treatment, etc. pose an increased risk of employee exposure and specific handling procedures should be developed.  </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bookmarkStart w:id="0" w:name="_GoBack"/>
      <w:bookmarkEnd w:id="0"/>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C4" w:rsidRDefault="00F655C4" w:rsidP="00904F1E">
      <w:pPr>
        <w:spacing w:after="0" w:line="240" w:lineRule="auto"/>
      </w:pPr>
      <w:r>
        <w:separator/>
      </w:r>
    </w:p>
  </w:endnote>
  <w:endnote w:type="continuationSeparator" w:id="0">
    <w:p w:rsidR="00F655C4" w:rsidRDefault="00F655C4"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LEAD:2</w:t>
    </w:r>
    <w:proofErr w:type="gramEnd"/>
    <w:r w:rsidRPr="00446AA0">
      <w:rPr>
        <w:rFonts w:ascii="Times New Roman" w:hAnsi="Times New Roman" w:cs="Times New Roman"/>
      </w:rPr>
      <w:tab/>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AD020F">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C4" w:rsidRDefault="00F655C4" w:rsidP="00904F1E">
      <w:pPr>
        <w:spacing w:after="0" w:line="240" w:lineRule="auto"/>
      </w:pPr>
      <w:r>
        <w:separator/>
      </w:r>
    </w:p>
  </w:footnote>
  <w:footnote w:type="continuationSeparator" w:id="0">
    <w:p w:rsidR="00F655C4" w:rsidRDefault="00F655C4"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195883"/>
    <w:rsid w:val="002016A1"/>
    <w:rsid w:val="00203751"/>
    <w:rsid w:val="002127E7"/>
    <w:rsid w:val="003016B0"/>
    <w:rsid w:val="00446AA0"/>
    <w:rsid w:val="004D08F9"/>
    <w:rsid w:val="00641F04"/>
    <w:rsid w:val="006736B3"/>
    <w:rsid w:val="00904F1E"/>
    <w:rsid w:val="009738F2"/>
    <w:rsid w:val="00A24A71"/>
    <w:rsid w:val="00A30240"/>
    <w:rsid w:val="00A92B7D"/>
    <w:rsid w:val="00AD020F"/>
    <w:rsid w:val="00CA1C5F"/>
    <w:rsid w:val="00CA3454"/>
    <w:rsid w:val="00DC3C59"/>
    <w:rsid w:val="00E55247"/>
    <w:rsid w:val="00F03EE7"/>
    <w:rsid w:val="00F655C4"/>
    <w:rsid w:val="00F6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98BF-26A4-4A5A-9691-34F61FA6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3</cp:revision>
  <dcterms:created xsi:type="dcterms:W3CDTF">2014-03-28T18:30:00Z</dcterms:created>
  <dcterms:modified xsi:type="dcterms:W3CDTF">2014-03-28T18:31:00Z</dcterms:modified>
</cp:coreProperties>
</file>