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960B5" w14:textId="77777777" w:rsidR="008522F6" w:rsidRDefault="008522F6" w:rsidP="008522F6">
      <w:pPr>
        <w:pStyle w:val="Heading1"/>
        <w:jc w:val="center"/>
      </w:pPr>
      <w:r>
        <w:t xml:space="preserve">Syllabus Guide for </w:t>
      </w:r>
      <w:r w:rsidR="008D5BDA">
        <w:t xml:space="preserve">the </w:t>
      </w:r>
      <w:r>
        <w:t>Aesthetic &amp; Humanistic Inquiry</w:t>
      </w:r>
      <w:r w:rsidR="008D5BDA">
        <w:t xml:space="preserve"> Distribution Block</w:t>
      </w:r>
    </w:p>
    <w:p w14:paraId="5A2FF4CA" w14:textId="77777777" w:rsidR="00FC5D02" w:rsidRPr="004C3F9E" w:rsidRDefault="00FC5D02" w:rsidP="00FC5D02">
      <w:pPr>
        <w:rPr>
          <w:rFonts w:asciiTheme="majorHAnsi" w:hAnsiTheme="majorHAnsi"/>
          <w:b/>
        </w:rPr>
      </w:pPr>
      <w:r w:rsidRPr="004C3F9E">
        <w:rPr>
          <w:rFonts w:asciiTheme="majorHAnsi" w:hAnsiTheme="majorHAnsi"/>
          <w:b/>
        </w:rPr>
        <w:t>College</w:t>
      </w:r>
    </w:p>
    <w:p w14:paraId="7CCEDF17"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27518346"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7D25C91A"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2DA0DEE3"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0F93686F"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251A261E"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773524C9" w14:textId="77777777" w:rsidR="00FC5D02" w:rsidRPr="004C3F9E" w:rsidRDefault="00FC5D02" w:rsidP="00FC5D02">
      <w:pPr>
        <w:rPr>
          <w:rFonts w:asciiTheme="majorHAnsi" w:hAnsiTheme="majorHAnsi"/>
        </w:rPr>
      </w:pPr>
    </w:p>
    <w:p w14:paraId="4CD135B2"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1105BF1D" w14:textId="77777777" w:rsidR="00FC5D02" w:rsidRPr="004C3F9E" w:rsidRDefault="00FC5D02" w:rsidP="00FC5D02">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
    <w:p w14:paraId="24818006"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17191A68" w14:textId="77777777" w:rsidR="00FC5D02" w:rsidRPr="004C3F9E" w:rsidRDefault="00FC5D02" w:rsidP="00FC5D02">
      <w:pPr>
        <w:rPr>
          <w:rFonts w:asciiTheme="majorHAnsi" w:hAnsiTheme="majorHAnsi"/>
        </w:rPr>
      </w:pPr>
    </w:p>
    <w:p w14:paraId="3916D269"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3B92DCB0" w14:textId="77777777" w:rsidR="007607B6" w:rsidRPr="008C25B6" w:rsidRDefault="007607B6" w:rsidP="007607B6">
      <w:pPr>
        <w:rPr>
          <w:rFonts w:asciiTheme="majorHAnsi" w:hAnsiTheme="majorHAnsi"/>
          <w:i/>
        </w:rPr>
      </w:pPr>
    </w:p>
    <w:p w14:paraId="0C291DEA" w14:textId="77777777" w:rsidR="007607B6" w:rsidRPr="008C25B6" w:rsidRDefault="007607B6" w:rsidP="007607B6">
      <w:pPr>
        <w:pStyle w:val="ListParagraph"/>
        <w:numPr>
          <w:ilvl w:val="0"/>
          <w:numId w:val="2"/>
        </w:numPr>
        <w:rPr>
          <w:rFonts w:asciiTheme="majorHAnsi" w:hAnsiTheme="majorHAnsi"/>
          <w:i/>
        </w:rPr>
      </w:pPr>
      <w:r w:rsidRPr="008C25B6">
        <w:rPr>
          <w:rFonts w:asciiTheme="majorHAnsi" w:hAnsiTheme="majorHAnsi"/>
          <w:i/>
        </w:rPr>
        <w:t xml:space="preserve">A description of the content, knowledge, skills and abilities that will be addressed within </w:t>
      </w:r>
      <w:r w:rsidR="00146160">
        <w:rPr>
          <w:rFonts w:asciiTheme="majorHAnsi" w:hAnsiTheme="majorHAnsi"/>
          <w:i/>
        </w:rPr>
        <w:t>the</w:t>
      </w:r>
      <w:r w:rsidR="00146160" w:rsidRPr="008C25B6">
        <w:rPr>
          <w:rFonts w:asciiTheme="majorHAnsi" w:hAnsiTheme="majorHAnsi"/>
          <w:i/>
        </w:rPr>
        <w:t xml:space="preserve"> </w:t>
      </w:r>
      <w:r w:rsidR="00146160">
        <w:rPr>
          <w:rFonts w:asciiTheme="majorHAnsi" w:hAnsiTheme="majorHAnsi"/>
          <w:i/>
        </w:rPr>
        <w:t>course</w:t>
      </w:r>
      <w:r w:rsidRPr="008C25B6">
        <w:rPr>
          <w:rFonts w:asciiTheme="majorHAnsi" w:hAnsiTheme="majorHAnsi"/>
          <w:i/>
        </w:rPr>
        <w:t>.</w:t>
      </w:r>
    </w:p>
    <w:p w14:paraId="206D428C" w14:textId="77777777" w:rsidR="007607B6" w:rsidRPr="008C25B6" w:rsidRDefault="007607B6" w:rsidP="007607B6">
      <w:pPr>
        <w:pStyle w:val="ListParagraph"/>
        <w:numPr>
          <w:ilvl w:val="1"/>
          <w:numId w:val="2"/>
        </w:numPr>
        <w:contextualSpacing w:val="0"/>
        <w:rPr>
          <w:rFonts w:asciiTheme="majorHAnsi" w:hAnsiTheme="majorHAnsi"/>
          <w:i/>
        </w:rPr>
      </w:pPr>
      <w:r w:rsidRPr="008C25B6">
        <w:rPr>
          <w:rFonts w:asciiTheme="majorHAnsi" w:hAnsiTheme="majorHAnsi"/>
          <w:i/>
        </w:rPr>
        <w:t>What is the course about?</w:t>
      </w:r>
    </w:p>
    <w:p w14:paraId="1A9EB29A" w14:textId="77777777" w:rsidR="007607B6" w:rsidRPr="008C25B6" w:rsidRDefault="007607B6" w:rsidP="007607B6">
      <w:pPr>
        <w:pStyle w:val="ListParagraph"/>
        <w:numPr>
          <w:ilvl w:val="1"/>
          <w:numId w:val="2"/>
        </w:numPr>
        <w:contextualSpacing w:val="0"/>
        <w:rPr>
          <w:rFonts w:asciiTheme="majorHAnsi" w:hAnsiTheme="majorHAnsi"/>
          <w:i/>
        </w:rPr>
      </w:pPr>
      <w:r w:rsidRPr="008C25B6">
        <w:rPr>
          <w:rFonts w:asciiTheme="majorHAnsi" w:hAnsiTheme="majorHAnsi"/>
          <w:i/>
        </w:rPr>
        <w:t xml:space="preserve">What will </w:t>
      </w:r>
      <w:r w:rsidR="00F423FE">
        <w:rPr>
          <w:rFonts w:asciiTheme="majorHAnsi" w:hAnsiTheme="majorHAnsi"/>
          <w:i/>
        </w:rPr>
        <w:t>students</w:t>
      </w:r>
      <w:r w:rsidRPr="008C25B6">
        <w:rPr>
          <w:rFonts w:asciiTheme="majorHAnsi" w:hAnsiTheme="majorHAnsi"/>
          <w:i/>
        </w:rPr>
        <w:t xml:space="preserve"> learn?</w:t>
      </w:r>
    </w:p>
    <w:p w14:paraId="55368B32" w14:textId="77777777" w:rsidR="007607B6" w:rsidRPr="008C25B6" w:rsidRDefault="007607B6" w:rsidP="007607B6">
      <w:pPr>
        <w:pStyle w:val="ListParagraph"/>
        <w:numPr>
          <w:ilvl w:val="1"/>
          <w:numId w:val="2"/>
        </w:numPr>
        <w:contextualSpacing w:val="0"/>
        <w:rPr>
          <w:rFonts w:asciiTheme="majorHAnsi" w:hAnsiTheme="majorHAnsi"/>
          <w:i/>
        </w:rPr>
      </w:pPr>
      <w:r w:rsidRPr="008C25B6">
        <w:rPr>
          <w:rFonts w:asciiTheme="majorHAnsi" w:hAnsiTheme="majorHAnsi"/>
          <w:i/>
        </w:rPr>
        <w:t>How will they learn it?</w:t>
      </w:r>
    </w:p>
    <w:p w14:paraId="2886E16B" w14:textId="77777777" w:rsidR="007607B6" w:rsidRPr="008C25B6" w:rsidRDefault="007607B6" w:rsidP="007607B6">
      <w:pPr>
        <w:rPr>
          <w:rFonts w:asciiTheme="majorHAnsi" w:hAnsiTheme="majorHAnsi"/>
          <w:i/>
        </w:rPr>
      </w:pPr>
    </w:p>
    <w:p w14:paraId="5982A10F" w14:textId="77777777" w:rsidR="007607B6" w:rsidRPr="008C25B6" w:rsidRDefault="00180926" w:rsidP="007607B6">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w:t>
      </w:r>
      <w:r w:rsidR="004B46C8">
        <w:rPr>
          <w:rFonts w:asciiTheme="majorHAnsi" w:hAnsiTheme="majorHAnsi"/>
          <w:i/>
        </w:rPr>
        <w:t xml:space="preserve">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7607B6">
        <w:rPr>
          <w:rFonts w:asciiTheme="majorHAnsi" w:hAnsiTheme="majorHAnsi"/>
          <w:i/>
        </w:rPr>
        <w:t>purposes</w:t>
      </w:r>
      <w:r w:rsidR="007607B6" w:rsidRPr="008C25B6">
        <w:rPr>
          <w:rFonts w:asciiTheme="majorHAnsi" w:hAnsiTheme="majorHAnsi"/>
          <w:i/>
        </w:rPr>
        <w:t xml:space="preserve"> of a Liberal Studies </w:t>
      </w:r>
      <w:r w:rsidR="008E2586">
        <w:rPr>
          <w:rFonts w:asciiTheme="majorHAnsi" w:hAnsiTheme="majorHAnsi"/>
          <w:i/>
        </w:rPr>
        <w:t>Aesthetic &amp; Humanistic Inquiry</w:t>
      </w:r>
      <w:r w:rsidR="007607B6" w:rsidRPr="008C25B6">
        <w:rPr>
          <w:rFonts w:asciiTheme="majorHAnsi" w:hAnsiTheme="majorHAnsi"/>
          <w:i/>
        </w:rPr>
        <w:t xml:space="preserve"> Distribution Block</w:t>
      </w:r>
      <w:r w:rsidR="002411E9">
        <w:rPr>
          <w:rFonts w:asciiTheme="majorHAnsi" w:hAnsiTheme="majorHAnsi"/>
          <w:i/>
        </w:rPr>
        <w:t>, wherein students explore</w:t>
      </w:r>
      <w:r w:rsidR="007607B6" w:rsidRPr="008C25B6">
        <w:rPr>
          <w:rFonts w:asciiTheme="majorHAnsi" w:hAnsiTheme="majorHAnsi"/>
          <w:i/>
        </w:rPr>
        <w:t>:</w:t>
      </w:r>
    </w:p>
    <w:p w14:paraId="03699877" w14:textId="77777777" w:rsidR="007607B6" w:rsidRPr="008C25B6" w:rsidRDefault="007607B6" w:rsidP="007607B6">
      <w:pPr>
        <w:pStyle w:val="ListParagraph"/>
        <w:numPr>
          <w:ilvl w:val="1"/>
          <w:numId w:val="2"/>
        </w:numPr>
        <w:rPr>
          <w:rFonts w:asciiTheme="majorHAnsi" w:hAnsiTheme="majorHAnsi"/>
          <w:i/>
        </w:rPr>
      </w:pPr>
      <w:r w:rsidRPr="008C25B6">
        <w:rPr>
          <w:rFonts w:asciiTheme="majorHAnsi" w:hAnsiTheme="majorHAnsi"/>
          <w:i/>
        </w:rPr>
        <w:t>the relationship between contex</w:t>
      </w:r>
      <w:r w:rsidR="00D800B7">
        <w:rPr>
          <w:rFonts w:asciiTheme="majorHAnsi" w:hAnsiTheme="majorHAnsi"/>
          <w:i/>
        </w:rPr>
        <w:t>t and human creative expression,</w:t>
      </w:r>
    </w:p>
    <w:p w14:paraId="050AC2CF" w14:textId="77777777" w:rsidR="007607B6" w:rsidRPr="008C25B6" w:rsidRDefault="007607B6" w:rsidP="007607B6">
      <w:pPr>
        <w:pStyle w:val="ListParagraph"/>
        <w:numPr>
          <w:ilvl w:val="1"/>
          <w:numId w:val="2"/>
        </w:numPr>
        <w:rPr>
          <w:rFonts w:asciiTheme="majorHAnsi" w:hAnsiTheme="majorHAnsi"/>
          <w:i/>
        </w:rPr>
      </w:pPr>
      <w:r w:rsidRPr="008C25B6">
        <w:rPr>
          <w:rFonts w:asciiTheme="majorHAnsi" w:hAnsiTheme="majorHAnsi"/>
          <w:i/>
        </w:rPr>
        <w:t>major conceptual frameworks utilized to m</w:t>
      </w:r>
      <w:r w:rsidR="003D7B1D">
        <w:rPr>
          <w:rFonts w:asciiTheme="majorHAnsi" w:hAnsiTheme="majorHAnsi"/>
          <w:i/>
        </w:rPr>
        <w:t>ake sense of the creative arts,</w:t>
      </w:r>
    </w:p>
    <w:p w14:paraId="08E02DCF" w14:textId="77777777" w:rsidR="007607B6" w:rsidRPr="008C25B6" w:rsidRDefault="007607B6" w:rsidP="007607B6">
      <w:pPr>
        <w:pStyle w:val="ListParagraph"/>
        <w:numPr>
          <w:ilvl w:val="1"/>
          <w:numId w:val="2"/>
        </w:numPr>
        <w:rPr>
          <w:rFonts w:asciiTheme="majorHAnsi" w:hAnsiTheme="majorHAnsi"/>
          <w:i/>
        </w:rPr>
      </w:pPr>
      <w:r w:rsidRPr="008C25B6">
        <w:rPr>
          <w:rFonts w:asciiTheme="majorHAnsi" w:hAnsiTheme="majorHAnsi"/>
          <w:i/>
        </w:rPr>
        <w:t>how human experience and values are expressed through creative endeavors, and/or</w:t>
      </w:r>
    </w:p>
    <w:p w14:paraId="1B4A10EE" w14:textId="77777777" w:rsidR="007607B6" w:rsidRPr="004B46C8" w:rsidRDefault="007607B6" w:rsidP="007607B6">
      <w:pPr>
        <w:pStyle w:val="ListParagraph"/>
        <w:numPr>
          <w:ilvl w:val="1"/>
          <w:numId w:val="2"/>
        </w:numPr>
        <w:rPr>
          <w:rFonts w:asciiTheme="majorHAnsi" w:hAnsiTheme="majorHAnsi"/>
          <w:i/>
        </w:rPr>
      </w:pPr>
      <w:proofErr w:type="gramStart"/>
      <w:r w:rsidRPr="008C25B6">
        <w:rPr>
          <w:rFonts w:asciiTheme="majorHAnsi" w:hAnsiTheme="majorHAnsi"/>
          <w:i/>
        </w:rPr>
        <w:t>the</w:t>
      </w:r>
      <w:proofErr w:type="gramEnd"/>
      <w:r w:rsidRPr="008C25B6">
        <w:rPr>
          <w:rFonts w:asciiTheme="majorHAnsi" w:hAnsiTheme="majorHAnsi"/>
          <w:i/>
        </w:rPr>
        <w:t xml:space="preserve"> multiple</w:t>
      </w:r>
      <w:r w:rsidR="003D7B1D">
        <w:rPr>
          <w:rFonts w:asciiTheme="majorHAnsi" w:hAnsiTheme="majorHAnsi"/>
          <w:i/>
        </w:rPr>
        <w:t xml:space="preserve"> facets of the human condition.</w:t>
      </w:r>
    </w:p>
    <w:p w14:paraId="03782CD1" w14:textId="77777777" w:rsidR="004B46C8" w:rsidRPr="007607B6" w:rsidRDefault="004B46C8" w:rsidP="007607B6">
      <w:pPr>
        <w:rPr>
          <w:rFonts w:asciiTheme="majorHAnsi" w:hAnsiTheme="majorHAnsi"/>
        </w:rPr>
      </w:pPr>
    </w:p>
    <w:p w14:paraId="345C03CD"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at least one</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490A99F3"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includes the skills--particularly as applied to one's own work--of articulating the meaning of statement, judging the truth of a statement while keeping in mind possible biases, and determining whether a conclusion is warranted by the evidence provided.</w:t>
      </w:r>
    </w:p>
    <w:p w14:paraId="36C0EE3F"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2280C11A"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407CD099"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Oral Communication: Effective oral communication influences, informs, and/or connects with others by using organizational structures, supporting materials and delivery skills suitable to the topic, occasion and audience.</w:t>
      </w:r>
    </w:p>
    <w:p w14:paraId="0F5B425F"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Quantitative Reasoning: Quantitative reasoning is the application of numerical, visual or symbolic reasoning for the purposes of drawing inferences, understanding phenomena or making predictions.</w:t>
      </w:r>
    </w:p>
    <w:p w14:paraId="3B0DE03F"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1E60B166" w14:textId="77777777" w:rsidR="004046D9" w:rsidRPr="007607B6" w:rsidRDefault="004046D9" w:rsidP="004046D9">
      <w:pPr>
        <w:rPr>
          <w:rFonts w:asciiTheme="majorHAnsi" w:hAnsiTheme="majorHAnsi"/>
        </w:rPr>
      </w:pPr>
    </w:p>
    <w:p w14:paraId="7E8247BB" w14:textId="77777777" w:rsidR="007607B6" w:rsidRPr="004C3F9E" w:rsidRDefault="007607B6" w:rsidP="00FC5D02">
      <w:pPr>
        <w:rPr>
          <w:rFonts w:asciiTheme="majorHAnsi" w:hAnsiTheme="majorHAnsi"/>
        </w:rPr>
      </w:pPr>
    </w:p>
    <w:p w14:paraId="6706BB2E" w14:textId="77777777" w:rsidR="00FC5D02" w:rsidRPr="004C3F9E" w:rsidRDefault="00FC5D02" w:rsidP="00FC5D02">
      <w:pPr>
        <w:rPr>
          <w:rFonts w:asciiTheme="majorHAnsi" w:hAnsiTheme="majorHAnsi"/>
          <w:i/>
        </w:rPr>
      </w:pPr>
      <w:r w:rsidRPr="004C3F9E">
        <w:rPr>
          <w:rFonts w:asciiTheme="majorHAnsi" w:hAnsiTheme="majorHAnsi"/>
          <w:b/>
        </w:rPr>
        <w:lastRenderedPageBreak/>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0847C36F" w14:textId="77777777" w:rsidR="00E11352" w:rsidRDefault="00E11352" w:rsidP="00E11352">
      <w:pPr>
        <w:rPr>
          <w:rFonts w:asciiTheme="majorHAnsi" w:hAnsiTheme="majorHAnsi"/>
          <w:i/>
        </w:rPr>
      </w:pPr>
    </w:p>
    <w:p w14:paraId="44212622"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46C0B1A8"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p>
    <w:p w14:paraId="696C428F" w14:textId="2AD60486" w:rsidR="00E11352" w:rsidRDefault="00E11352" w:rsidP="00E11352">
      <w:pPr>
        <w:pStyle w:val="ListParagraph"/>
        <w:numPr>
          <w:ilvl w:val="0"/>
          <w:numId w:val="4"/>
        </w:numPr>
        <w:rPr>
          <w:rFonts w:asciiTheme="majorHAnsi" w:hAnsiTheme="majorHAnsi"/>
          <w:i/>
        </w:rPr>
      </w:pPr>
      <w:r w:rsidRPr="008C25B6">
        <w:rPr>
          <w:rFonts w:asciiTheme="majorHAnsi" w:hAnsiTheme="majorHAnsi"/>
          <w:i/>
        </w:rPr>
        <w:t>The Aesthetic &amp; Humanistic Inquiry Distribution Block</w:t>
      </w:r>
      <w:r w:rsidR="00E82E29">
        <w:rPr>
          <w:rFonts w:asciiTheme="majorHAnsi" w:hAnsiTheme="majorHAnsi"/>
          <w:i/>
        </w:rPr>
        <w:t xml:space="preserve"> purpose </w:t>
      </w:r>
      <w:r w:rsidR="0000170B">
        <w:rPr>
          <w:rFonts w:asciiTheme="majorHAnsi" w:hAnsiTheme="majorHAnsi"/>
          <w:i/>
        </w:rPr>
        <w:t>area(s) you selected in the Course Purpose</w:t>
      </w:r>
      <w:r w:rsidR="00E82E29">
        <w:rPr>
          <w:rFonts w:asciiTheme="majorHAnsi" w:hAnsiTheme="majorHAnsi"/>
          <w:i/>
        </w:rPr>
        <w:t>.  The following link contains examples of learning outcomes for each purpose of the AHI Distribution Block</w:t>
      </w:r>
      <w:r w:rsidR="001A67EF">
        <w:rPr>
          <w:rFonts w:asciiTheme="majorHAnsi" w:hAnsiTheme="majorHAnsi"/>
          <w:i/>
        </w:rPr>
        <w:t xml:space="preserve">: </w:t>
      </w:r>
      <w:hyperlink r:id="rId9" w:history="1">
        <w:r w:rsidR="008023BB" w:rsidRPr="00D91112">
          <w:rPr>
            <w:rStyle w:val="Hyperlink"/>
            <w:rFonts w:asciiTheme="majorHAnsi" w:hAnsiTheme="majorHAnsi"/>
            <w:i/>
          </w:rPr>
          <w:t>http://nau.edu/Provost/Curriculum-and-Assessment/Liberal-Studies-Committee/Program-Purpose</w:t>
        </w:r>
      </w:hyperlink>
      <w:bookmarkStart w:id="0" w:name="_GoBack"/>
      <w:bookmarkEnd w:id="0"/>
    </w:p>
    <w:p w14:paraId="7942618E" w14:textId="77777777" w:rsidR="00EF1627" w:rsidRPr="00E11352" w:rsidRDefault="00EF1627" w:rsidP="00EF1627">
      <w:pPr>
        <w:pStyle w:val="ListParagraph"/>
        <w:numPr>
          <w:ilvl w:val="0"/>
          <w:numId w:val="4"/>
        </w:numPr>
        <w:rPr>
          <w:rFonts w:asciiTheme="majorHAnsi" w:hAnsiTheme="majorHAnsi"/>
          <w:i/>
        </w:rPr>
      </w:pPr>
      <w:r w:rsidRPr="00E11352">
        <w:rPr>
          <w:rFonts w:asciiTheme="majorHAnsi" w:hAnsiTheme="majorHAnsi"/>
          <w:i/>
        </w:rPr>
        <w:t>The Essential Skill identified in the Course Purpose</w:t>
      </w:r>
      <w:r>
        <w:rPr>
          <w:rFonts w:asciiTheme="majorHAnsi" w:hAnsiTheme="majorHAnsi"/>
          <w:i/>
        </w:rPr>
        <w:t>.</w:t>
      </w:r>
    </w:p>
    <w:p w14:paraId="02A57D39" w14:textId="77777777" w:rsidR="00FC5D02" w:rsidRPr="004C3F9E" w:rsidRDefault="00FC5D02" w:rsidP="00FC5D02">
      <w:pPr>
        <w:rPr>
          <w:rFonts w:asciiTheme="majorHAnsi" w:hAnsiTheme="majorHAnsi"/>
          <w:b/>
        </w:rPr>
      </w:pPr>
    </w:p>
    <w:p w14:paraId="21C1B845"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1FC6EA44" w14:textId="77777777" w:rsidR="00FC5D02" w:rsidRDefault="00FC5D02" w:rsidP="00FC5D02">
      <w:pPr>
        <w:rPr>
          <w:rFonts w:asciiTheme="majorHAnsi" w:hAnsiTheme="majorHAnsi"/>
          <w:b/>
        </w:rPr>
      </w:pPr>
    </w:p>
    <w:p w14:paraId="2D15E9DA"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3CB91E0C"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All of the topic-area specific content and skill</w:t>
      </w:r>
      <w:r w:rsidRPr="008C25B6">
        <w:rPr>
          <w:rFonts w:asciiTheme="majorHAnsi" w:hAnsiTheme="majorHAnsi"/>
          <w:i/>
        </w:rPr>
        <w:t xml:space="preserve"> outcomes addressed in </w:t>
      </w:r>
      <w:r w:rsidR="00EF1627">
        <w:rPr>
          <w:rFonts w:asciiTheme="majorHAnsi" w:hAnsiTheme="majorHAnsi"/>
          <w:i/>
        </w:rPr>
        <w:t>the</w:t>
      </w:r>
      <w:r w:rsidR="00EF1627" w:rsidRPr="008C25B6">
        <w:rPr>
          <w:rFonts w:asciiTheme="majorHAnsi" w:hAnsiTheme="majorHAnsi"/>
          <w:i/>
        </w:rPr>
        <w:t xml:space="preserve"> </w:t>
      </w:r>
      <w:r w:rsidR="00EF1627">
        <w:rPr>
          <w:rFonts w:asciiTheme="majorHAnsi" w:hAnsiTheme="majorHAnsi"/>
          <w:i/>
        </w:rPr>
        <w:t>course</w:t>
      </w:r>
      <w:r w:rsidRPr="008C25B6">
        <w:rPr>
          <w:rFonts w:asciiTheme="majorHAnsi" w:hAnsiTheme="majorHAnsi"/>
          <w:i/>
        </w:rPr>
        <w:t>,</w:t>
      </w:r>
    </w:p>
    <w:p w14:paraId="24C281A3"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Aesthetic &amp; Humanistic Inquiry Distribution Block outcomes,</w:t>
      </w:r>
      <w:r>
        <w:rPr>
          <w:rFonts w:asciiTheme="majorHAnsi" w:hAnsiTheme="majorHAnsi"/>
          <w:i/>
        </w:rPr>
        <w:t xml:space="preserve"> AND</w:t>
      </w:r>
    </w:p>
    <w:p w14:paraId="54F4046F"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305AF556"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2C82A402" w14:textId="77777777" w:rsidR="00E6534F" w:rsidRPr="004C3F9E" w:rsidRDefault="00E6534F" w:rsidP="00FC5D02">
      <w:pPr>
        <w:rPr>
          <w:rFonts w:asciiTheme="majorHAnsi" w:hAnsiTheme="majorHAnsi"/>
          <w:b/>
        </w:rPr>
      </w:pPr>
    </w:p>
    <w:p w14:paraId="2ADAAA4F"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21C45A6A" w14:textId="77777777" w:rsidR="00FC5D02" w:rsidRPr="004C3F9E" w:rsidRDefault="00FC5D02" w:rsidP="00FC5D02">
      <w:pPr>
        <w:rPr>
          <w:rFonts w:asciiTheme="majorHAnsi" w:hAnsiTheme="majorHAnsi"/>
          <w:i/>
        </w:rPr>
      </w:pPr>
    </w:p>
    <w:p w14:paraId="04CD5374"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54072C6E" w14:textId="77777777" w:rsidR="00FC5D02" w:rsidRPr="004C3F9E" w:rsidRDefault="00FC5D02" w:rsidP="00FC5D02">
      <w:pPr>
        <w:rPr>
          <w:rFonts w:asciiTheme="majorHAnsi" w:hAnsiTheme="majorHAnsi"/>
          <w:b/>
          <w:i/>
        </w:rPr>
      </w:pPr>
    </w:p>
    <w:p w14:paraId="32406701"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6BBC728B" w14:textId="77777777" w:rsidR="00FC5D02" w:rsidRPr="004C3F9E" w:rsidRDefault="00FC5D02" w:rsidP="00FC5D02">
      <w:pPr>
        <w:rPr>
          <w:rFonts w:asciiTheme="majorHAnsi" w:hAnsiTheme="majorHAnsi"/>
        </w:rPr>
      </w:pPr>
    </w:p>
    <w:p w14:paraId="37832EE4"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3EAAA5FD" w14:textId="77777777" w:rsidR="00FC5D02" w:rsidRPr="004C3F9E" w:rsidRDefault="00FC5D02" w:rsidP="00FC5D02">
      <w:pPr>
        <w:rPr>
          <w:rFonts w:asciiTheme="majorHAnsi" w:hAnsiTheme="majorHAnsi"/>
          <w:i/>
        </w:rPr>
      </w:pPr>
    </w:p>
    <w:p w14:paraId="33AEA77D"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4E5C3250" w14:textId="77777777" w:rsidR="00FC5D02" w:rsidRPr="004C3F9E" w:rsidRDefault="00FC5D02" w:rsidP="00FC5D02">
      <w:pPr>
        <w:rPr>
          <w:rFonts w:asciiTheme="majorHAnsi" w:hAnsiTheme="majorHAnsi"/>
          <w:i/>
        </w:rPr>
      </w:pPr>
    </w:p>
    <w:p w14:paraId="420300FA" w14:textId="77777777" w:rsidR="009549B2" w:rsidRPr="00470DC1" w:rsidRDefault="008023BB">
      <w:pPr>
        <w:rPr>
          <w:rFonts w:asciiTheme="majorHAnsi" w:hAnsiTheme="majorHAnsi"/>
          <w:b/>
        </w:rPr>
      </w:pPr>
    </w:p>
    <w:sectPr w:rsidR="009549B2" w:rsidRPr="00470DC1" w:rsidSect="0084125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891A3" w14:textId="77777777" w:rsidR="00841252" w:rsidRDefault="00841252" w:rsidP="00841252">
      <w:r>
        <w:separator/>
      </w:r>
    </w:p>
  </w:endnote>
  <w:endnote w:type="continuationSeparator" w:id="0">
    <w:p w14:paraId="7252867A" w14:textId="77777777" w:rsidR="00841252" w:rsidRDefault="00841252"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39701" w14:textId="77777777" w:rsidR="00256A4F" w:rsidRDefault="00256A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AAE19" w14:textId="77777777" w:rsidR="00256A4F" w:rsidRDefault="00256A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6A54C20" w14:textId="77777777" w:rsidR="00CA0150" w:rsidRPr="003A7425" w:rsidRDefault="002D00FC"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syllabus</w:t>
            </w:r>
            <w:r w:rsidR="009E3517">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8023BB">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8023BB">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94F77" w14:textId="77777777" w:rsidR="00841252" w:rsidRDefault="00841252" w:rsidP="00841252">
      <w:r>
        <w:separator/>
      </w:r>
    </w:p>
  </w:footnote>
  <w:footnote w:type="continuationSeparator" w:id="0">
    <w:p w14:paraId="0EA20851" w14:textId="77777777" w:rsidR="00841252" w:rsidRDefault="00841252" w:rsidP="00841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DFCED" w14:textId="77777777" w:rsidR="00256A4F" w:rsidRDefault="00256A4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51DE" w14:textId="77777777" w:rsidR="00256A4F" w:rsidRDefault="00256A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A7D7A" w14:textId="77777777" w:rsidR="00256A4F" w:rsidRDefault="00256A4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CA"/>
    <w:rsid w:val="0000170B"/>
    <w:rsid w:val="000336AA"/>
    <w:rsid w:val="00036F74"/>
    <w:rsid w:val="0005016B"/>
    <w:rsid w:val="000535E6"/>
    <w:rsid w:val="00065D86"/>
    <w:rsid w:val="0007546B"/>
    <w:rsid w:val="000942CF"/>
    <w:rsid w:val="0011166C"/>
    <w:rsid w:val="0011371A"/>
    <w:rsid w:val="0011639E"/>
    <w:rsid w:val="00137413"/>
    <w:rsid w:val="00146160"/>
    <w:rsid w:val="00175238"/>
    <w:rsid w:val="00180926"/>
    <w:rsid w:val="00195E1A"/>
    <w:rsid w:val="001A67EF"/>
    <w:rsid w:val="001D278E"/>
    <w:rsid w:val="001D3BC1"/>
    <w:rsid w:val="0022193D"/>
    <w:rsid w:val="002243AE"/>
    <w:rsid w:val="0022495E"/>
    <w:rsid w:val="002411E9"/>
    <w:rsid w:val="00256A4F"/>
    <w:rsid w:val="002A36BB"/>
    <w:rsid w:val="002D00FC"/>
    <w:rsid w:val="002D1737"/>
    <w:rsid w:val="002E21D1"/>
    <w:rsid w:val="002E39E3"/>
    <w:rsid w:val="002F6BE8"/>
    <w:rsid w:val="003254C8"/>
    <w:rsid w:val="00371BE9"/>
    <w:rsid w:val="003746E8"/>
    <w:rsid w:val="003831AD"/>
    <w:rsid w:val="003945A3"/>
    <w:rsid w:val="003A7425"/>
    <w:rsid w:val="003B3E02"/>
    <w:rsid w:val="003C0EA5"/>
    <w:rsid w:val="003D5D39"/>
    <w:rsid w:val="003D7B1D"/>
    <w:rsid w:val="003F21B2"/>
    <w:rsid w:val="004046D9"/>
    <w:rsid w:val="0041749C"/>
    <w:rsid w:val="00430DCF"/>
    <w:rsid w:val="00451ACA"/>
    <w:rsid w:val="00461860"/>
    <w:rsid w:val="00470DC1"/>
    <w:rsid w:val="004805F2"/>
    <w:rsid w:val="00485DF9"/>
    <w:rsid w:val="004A305D"/>
    <w:rsid w:val="004A6B84"/>
    <w:rsid w:val="004B3615"/>
    <w:rsid w:val="004B46C8"/>
    <w:rsid w:val="004F1CFB"/>
    <w:rsid w:val="004F380B"/>
    <w:rsid w:val="0051699C"/>
    <w:rsid w:val="00544FC9"/>
    <w:rsid w:val="00555C60"/>
    <w:rsid w:val="00581855"/>
    <w:rsid w:val="00585BEE"/>
    <w:rsid w:val="005A2B0E"/>
    <w:rsid w:val="005C27DB"/>
    <w:rsid w:val="005D2060"/>
    <w:rsid w:val="005D6677"/>
    <w:rsid w:val="005E20DB"/>
    <w:rsid w:val="005F135B"/>
    <w:rsid w:val="00602B7D"/>
    <w:rsid w:val="00614097"/>
    <w:rsid w:val="00630EED"/>
    <w:rsid w:val="00645238"/>
    <w:rsid w:val="00652351"/>
    <w:rsid w:val="0065566E"/>
    <w:rsid w:val="006B6694"/>
    <w:rsid w:val="006D27C4"/>
    <w:rsid w:val="00702E2C"/>
    <w:rsid w:val="00710EA4"/>
    <w:rsid w:val="007271B9"/>
    <w:rsid w:val="007273D4"/>
    <w:rsid w:val="00745C92"/>
    <w:rsid w:val="00754C4A"/>
    <w:rsid w:val="007607B6"/>
    <w:rsid w:val="0079464C"/>
    <w:rsid w:val="007A0A3C"/>
    <w:rsid w:val="007A3820"/>
    <w:rsid w:val="007C3B79"/>
    <w:rsid w:val="007E0C4E"/>
    <w:rsid w:val="007F4E92"/>
    <w:rsid w:val="007F6574"/>
    <w:rsid w:val="008023BB"/>
    <w:rsid w:val="008237B6"/>
    <w:rsid w:val="00841252"/>
    <w:rsid w:val="008522F6"/>
    <w:rsid w:val="008551CE"/>
    <w:rsid w:val="00860239"/>
    <w:rsid w:val="008718A9"/>
    <w:rsid w:val="0087546E"/>
    <w:rsid w:val="00881951"/>
    <w:rsid w:val="00885CBE"/>
    <w:rsid w:val="00894537"/>
    <w:rsid w:val="008A08C4"/>
    <w:rsid w:val="008B5C34"/>
    <w:rsid w:val="008C25B6"/>
    <w:rsid w:val="008C6D5C"/>
    <w:rsid w:val="008D5BDA"/>
    <w:rsid w:val="008E2586"/>
    <w:rsid w:val="009049A3"/>
    <w:rsid w:val="00912EB1"/>
    <w:rsid w:val="00913C6D"/>
    <w:rsid w:val="00920126"/>
    <w:rsid w:val="00946B07"/>
    <w:rsid w:val="0096143A"/>
    <w:rsid w:val="0097566E"/>
    <w:rsid w:val="009E3517"/>
    <w:rsid w:val="00A60E71"/>
    <w:rsid w:val="00A80A79"/>
    <w:rsid w:val="00A84FA6"/>
    <w:rsid w:val="00AB1765"/>
    <w:rsid w:val="00AD35A7"/>
    <w:rsid w:val="00AD7553"/>
    <w:rsid w:val="00AE61C1"/>
    <w:rsid w:val="00AF194C"/>
    <w:rsid w:val="00B06AF5"/>
    <w:rsid w:val="00B4585C"/>
    <w:rsid w:val="00B64F8D"/>
    <w:rsid w:val="00B74548"/>
    <w:rsid w:val="00B747B7"/>
    <w:rsid w:val="00B839C5"/>
    <w:rsid w:val="00B95130"/>
    <w:rsid w:val="00BC787F"/>
    <w:rsid w:val="00BD0D39"/>
    <w:rsid w:val="00BE069E"/>
    <w:rsid w:val="00C00C61"/>
    <w:rsid w:val="00C3526A"/>
    <w:rsid w:val="00C4616F"/>
    <w:rsid w:val="00C63712"/>
    <w:rsid w:val="00C96D35"/>
    <w:rsid w:val="00CA0150"/>
    <w:rsid w:val="00CB3F0F"/>
    <w:rsid w:val="00CB61B8"/>
    <w:rsid w:val="00CC7DB3"/>
    <w:rsid w:val="00D125FF"/>
    <w:rsid w:val="00D241F1"/>
    <w:rsid w:val="00D24302"/>
    <w:rsid w:val="00D3709C"/>
    <w:rsid w:val="00D60BA5"/>
    <w:rsid w:val="00D800B7"/>
    <w:rsid w:val="00D826DD"/>
    <w:rsid w:val="00D941ED"/>
    <w:rsid w:val="00DA189F"/>
    <w:rsid w:val="00DB5986"/>
    <w:rsid w:val="00E11352"/>
    <w:rsid w:val="00E21BDF"/>
    <w:rsid w:val="00E23347"/>
    <w:rsid w:val="00E539E9"/>
    <w:rsid w:val="00E6534F"/>
    <w:rsid w:val="00E67B4A"/>
    <w:rsid w:val="00E7581C"/>
    <w:rsid w:val="00E82E29"/>
    <w:rsid w:val="00EB639C"/>
    <w:rsid w:val="00ED2537"/>
    <w:rsid w:val="00EF1627"/>
    <w:rsid w:val="00EF72D3"/>
    <w:rsid w:val="00F026DB"/>
    <w:rsid w:val="00F12F9D"/>
    <w:rsid w:val="00F423FE"/>
    <w:rsid w:val="00F43B51"/>
    <w:rsid w:val="00F804F4"/>
    <w:rsid w:val="00F95D35"/>
    <w:rsid w:val="00F976CA"/>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C1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au.edu/Provost/Curriculum-and-Assessment/Liberal-Studies-Committee/Program-Purpos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83B3-F745-6746-B6F0-6C27D6D5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818</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Stephanie McCarthy</cp:lastModifiedBy>
  <cp:revision>24</cp:revision>
  <cp:lastPrinted>2016-05-04T21:18:00Z</cp:lastPrinted>
  <dcterms:created xsi:type="dcterms:W3CDTF">2016-08-08T19:56:00Z</dcterms:created>
  <dcterms:modified xsi:type="dcterms:W3CDTF">2016-08-26T19:07:00Z</dcterms:modified>
</cp:coreProperties>
</file>