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</w:rPr>
      </w:pPr>
    </w:p>
    <w:p>
      <w:pPr>
        <w:spacing w:before="44"/>
        <w:ind w:left="100" w:right="0" w:firstLine="0"/>
        <w:jc w:val="left"/>
        <w:rPr>
          <w:b/>
          <w:sz w:val="28"/>
        </w:rPr>
      </w:pPr>
      <w:r>
        <w:rPr>
          <w:b/>
          <w:sz w:val="28"/>
        </w:rPr>
        <w:t>CAEP EPP Master Assessment Plan &amp; Calendar</w:t>
      </w:r>
    </w:p>
    <w:p>
      <w:pPr>
        <w:pStyle w:val="BodyText"/>
        <w:spacing w:before="49"/>
        <w:ind w:left="100"/>
      </w:pPr>
      <w:r>
        <w:rPr/>
        <w:t>(CAEP Standard Components, 2015, </w:t>
      </w:r>
      <w:hyperlink r:id="rId6">
        <w:r>
          <w:rPr>
            <w:color w:val="0462C1"/>
            <w:u w:val="single" w:color="0462C1"/>
          </w:rPr>
          <w:t>http://caepnet.org/standards/introduction</w:t>
        </w:r>
      </w:hyperlink>
      <w:r>
        <w:rPr/>
        <w:t>)</w: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56"/>
        <w:ind w:left="100"/>
      </w:pPr>
      <w:r>
        <w:rPr/>
        <w:t>Instructions: List each piece of evidence or assessment instrument in a separate row. Insert additional rows under each CAEP Standard Component as needed.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112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6"/>
        <w:gridCol w:w="2861"/>
        <w:gridCol w:w="2161"/>
        <w:gridCol w:w="2520"/>
        <w:gridCol w:w="1980"/>
        <w:gridCol w:w="3060"/>
        <w:gridCol w:w="3143"/>
      </w:tblGrid>
      <w:tr>
        <w:trPr>
          <w:trHeight w:val="288" w:hRule="atLeast"/>
        </w:trPr>
        <w:tc>
          <w:tcPr>
            <w:tcW w:w="172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>
            <w:pPr>
              <w:pStyle w:val="TableParagraph"/>
              <w:spacing w:line="259" w:lineRule="exact" w:before="9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CAEP Standard 1: Content and Pedagogical Knowledge</w:t>
            </w:r>
          </w:p>
        </w:tc>
      </w:tr>
      <w:tr>
        <w:trPr>
          <w:trHeight w:val="1075" w:hRule="atLeast"/>
        </w:trPr>
        <w:tc>
          <w:tcPr>
            <w:tcW w:w="1546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CAEP</w:t>
            </w: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Standard</w:t>
            </w:r>
          </w:p>
          <w:p>
            <w:pPr>
              <w:pStyle w:val="TableParagraph"/>
              <w:spacing w:line="270" w:lineRule="atLeast"/>
              <w:ind w:left="107" w:right="166"/>
              <w:rPr>
                <w:b/>
                <w:sz w:val="22"/>
              </w:rPr>
            </w:pPr>
            <w:r>
              <w:rPr>
                <w:b/>
                <w:sz w:val="22"/>
              </w:rPr>
              <w:t>Component (abbreviated)</w:t>
            </w:r>
          </w:p>
        </w:tc>
        <w:tc>
          <w:tcPr>
            <w:tcW w:w="2861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107" w:right="735"/>
              <w:rPr>
                <w:b/>
                <w:sz w:val="22"/>
              </w:rPr>
            </w:pPr>
            <w:r>
              <w:rPr>
                <w:b/>
                <w:sz w:val="22"/>
              </w:rPr>
              <w:t>Evidence/Assessment Instrument &amp; Implementation</w:t>
            </w:r>
          </w:p>
        </w:tc>
        <w:tc>
          <w:tcPr>
            <w:tcW w:w="2161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6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Arrangement of Data</w:t>
            </w:r>
          </w:p>
        </w:tc>
        <w:tc>
          <w:tcPr>
            <w:tcW w:w="2520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68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Administration Schedule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105" w:right="302"/>
              <w:rPr>
                <w:b/>
                <w:sz w:val="22"/>
              </w:rPr>
            </w:pPr>
            <w:r>
              <w:rPr>
                <w:b/>
                <w:sz w:val="22"/>
              </w:rPr>
              <w:t>Formal Data Review Schedule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6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Use of Data</w:t>
            </w:r>
          </w:p>
        </w:tc>
        <w:tc>
          <w:tcPr>
            <w:tcW w:w="3143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105" w:right="937"/>
              <w:rPr>
                <w:b/>
                <w:sz w:val="22"/>
              </w:rPr>
            </w:pPr>
            <w:r>
              <w:rPr>
                <w:b/>
                <w:sz w:val="22"/>
              </w:rPr>
              <w:t>Review of Instrument/ Documentation</w:t>
            </w:r>
          </w:p>
        </w:tc>
      </w:tr>
      <w:tr>
        <w:trPr>
          <w:trHeight w:val="2415" w:hRule="atLeast"/>
        </w:trPr>
        <w:tc>
          <w:tcPr>
            <w:tcW w:w="1546" w:type="dxa"/>
          </w:tcPr>
          <w:p>
            <w:pPr>
              <w:pStyle w:val="TableParagraph"/>
              <w:spacing w:line="267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1.1</w:t>
            </w:r>
          </w:p>
          <w:p>
            <w:pPr>
              <w:pStyle w:val="TableParagraph"/>
              <w:ind w:left="107" w:right="80"/>
              <w:rPr>
                <w:b/>
                <w:sz w:val="22"/>
              </w:rPr>
            </w:pPr>
            <w:r>
              <w:rPr>
                <w:b/>
                <w:sz w:val="22"/>
              </w:rPr>
              <w:t>Demonstrate understanding of InTASC Standards</w:t>
            </w:r>
          </w:p>
        </w:tc>
        <w:tc>
          <w:tcPr>
            <w:tcW w:w="2861" w:type="dxa"/>
          </w:tcPr>
          <w:p>
            <w:pPr>
              <w:pStyle w:val="TableParagraph"/>
              <w:spacing w:line="267" w:lineRule="exact"/>
              <w:ind w:left="10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Example</w:t>
            </w:r>
          </w:p>
          <w:p>
            <w:pPr>
              <w:pStyle w:val="TableParagraph"/>
              <w:spacing w:line="237" w:lineRule="auto" w:before="2"/>
              <w:ind w:left="107" w:right="497"/>
              <w:rPr>
                <w:sz w:val="22"/>
              </w:rPr>
            </w:pPr>
            <w:r>
              <w:rPr>
                <w:sz w:val="22"/>
              </w:rPr>
              <w:t>CAEP 1.1 Licensure Exam Data</w:t>
            </w:r>
          </w:p>
          <w:p>
            <w:pPr>
              <w:pStyle w:val="TableParagraph"/>
              <w:spacing w:before="1"/>
              <w:ind w:left="107" w:right="228"/>
              <w:jc w:val="both"/>
              <w:rPr>
                <w:sz w:val="22"/>
              </w:rPr>
            </w:pPr>
            <w:r>
              <w:rPr>
                <w:sz w:val="22"/>
              </w:rPr>
              <w:t>Tools: Pearson, Educational Reports tool, Pearson’s Title II Educational Reports tool</w:t>
            </w:r>
          </w:p>
        </w:tc>
        <w:tc>
          <w:tcPr>
            <w:tcW w:w="2161" w:type="dxa"/>
          </w:tcPr>
          <w:p>
            <w:pPr>
              <w:pStyle w:val="TableParagraph"/>
              <w:spacing w:line="267" w:lineRule="exact"/>
              <w:ind w:left="10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Example</w:t>
            </w:r>
          </w:p>
          <w:p>
            <w:pPr>
              <w:pStyle w:val="TableParagraph"/>
              <w:ind w:left="105" w:right="163"/>
              <w:rPr>
                <w:sz w:val="22"/>
              </w:rPr>
            </w:pPr>
            <w:r>
              <w:rPr>
                <w:sz w:val="22"/>
              </w:rPr>
              <w:t>InTASC Categories as aligned to Professional Knowledge and Content Knowledge Exams</w:t>
            </w:r>
          </w:p>
        </w:tc>
        <w:tc>
          <w:tcPr>
            <w:tcW w:w="2520" w:type="dxa"/>
          </w:tcPr>
          <w:p>
            <w:pPr>
              <w:pStyle w:val="TableParagraph"/>
              <w:spacing w:line="267" w:lineRule="exact"/>
              <w:ind w:left="104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Example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4" w:val="left" w:leader="none"/>
                <w:tab w:pos="465" w:val="left" w:leader="none"/>
              </w:tabs>
              <w:spacing w:line="240" w:lineRule="auto" w:before="0" w:after="0"/>
              <w:ind w:left="464" w:right="106" w:hanging="360"/>
              <w:jc w:val="left"/>
              <w:rPr>
                <w:sz w:val="22"/>
              </w:rPr>
            </w:pPr>
            <w:r>
              <w:rPr>
                <w:sz w:val="22"/>
              </w:rPr>
              <w:t>Per Title II guideline, 9/1 -8/31; Lists of program completers submitted in October; Program data available in April and state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3"/>
                <w:sz w:val="22"/>
              </w:rPr>
              <w:t>comparison</w:t>
            </w:r>
          </w:p>
          <w:p>
            <w:pPr>
              <w:pStyle w:val="TableParagraph"/>
              <w:spacing w:line="249" w:lineRule="exact"/>
              <w:ind w:left="464"/>
              <w:rPr>
                <w:sz w:val="22"/>
              </w:rPr>
            </w:pPr>
            <w:r>
              <w:rPr>
                <w:sz w:val="22"/>
              </w:rPr>
              <w:t>data available 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May</w:t>
            </w:r>
          </w:p>
        </w:tc>
        <w:tc>
          <w:tcPr>
            <w:tcW w:w="1980" w:type="dxa"/>
          </w:tcPr>
          <w:p>
            <w:pPr>
              <w:pStyle w:val="TableParagraph"/>
              <w:spacing w:line="267" w:lineRule="exact"/>
              <w:ind w:left="10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Example</w:t>
            </w:r>
          </w:p>
          <w:p>
            <w:pPr>
              <w:pStyle w:val="TableParagraph"/>
              <w:ind w:left="105" w:right="324"/>
              <w:rPr>
                <w:sz w:val="22"/>
              </w:rPr>
            </w:pPr>
            <w:r>
              <w:rPr>
                <w:sz w:val="22"/>
              </w:rPr>
              <w:t>Fall, even years </w:t>
            </w:r>
            <w:r>
              <w:rPr>
                <w:spacing w:val="-12"/>
                <w:sz w:val="22"/>
              </w:rPr>
              <w:t>– </w:t>
            </w:r>
            <w:r>
              <w:rPr>
                <w:sz w:val="22"/>
              </w:rPr>
              <w:t>program level Fall, odd years – EPP wide</w:t>
            </w:r>
          </w:p>
        </w:tc>
        <w:tc>
          <w:tcPr>
            <w:tcW w:w="3060" w:type="dxa"/>
          </w:tcPr>
          <w:p>
            <w:pPr>
              <w:pStyle w:val="TableParagraph"/>
              <w:spacing w:line="267" w:lineRule="exact"/>
              <w:ind w:left="10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Example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5" w:val="left" w:leader="none"/>
                <w:tab w:pos="466" w:val="left" w:leader="none"/>
              </w:tabs>
              <w:spacing w:line="237" w:lineRule="auto" w:before="2" w:after="0"/>
              <w:ind w:left="465" w:right="494" w:hanging="360"/>
              <w:jc w:val="left"/>
              <w:rPr>
                <w:sz w:val="22"/>
              </w:rPr>
            </w:pPr>
            <w:r>
              <w:rPr>
                <w:sz w:val="22"/>
              </w:rPr>
              <w:t>Program Review (SPA Reports, Assessment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1)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5" w:val="left" w:leader="none"/>
                <w:tab w:pos="466" w:val="left" w:leader="none"/>
              </w:tabs>
              <w:spacing w:line="240" w:lineRule="auto" w:before="1" w:after="0"/>
              <w:ind w:left="465" w:right="250" w:hanging="360"/>
              <w:jc w:val="left"/>
              <w:rPr>
                <w:sz w:val="22"/>
              </w:rPr>
            </w:pPr>
            <w:r>
              <w:rPr>
                <w:sz w:val="22"/>
              </w:rPr>
              <w:t>EPP Review (EPP Evidence File,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1.1)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5" w:val="left" w:leader="none"/>
                <w:tab w:pos="466" w:val="left" w:leader="none"/>
              </w:tabs>
              <w:spacing w:line="240" w:lineRule="auto" w:before="1" w:after="0"/>
              <w:ind w:left="46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Title II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Report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5" w:val="left" w:leader="none"/>
                <w:tab w:pos="466" w:val="left" w:leader="none"/>
              </w:tabs>
              <w:spacing w:line="240" w:lineRule="auto" w:before="0" w:after="0"/>
              <w:ind w:left="465" w:right="503" w:hanging="360"/>
              <w:jc w:val="left"/>
              <w:rPr>
                <w:sz w:val="22"/>
              </w:rPr>
            </w:pPr>
            <w:r>
              <w:rPr>
                <w:sz w:val="22"/>
              </w:rPr>
              <w:t>CAEP Annual </w:t>
            </w:r>
            <w:r>
              <w:rPr>
                <w:spacing w:val="-3"/>
                <w:sz w:val="22"/>
              </w:rPr>
              <w:t>Reporting </w:t>
            </w:r>
            <w:r>
              <w:rPr>
                <w:sz w:val="22"/>
              </w:rPr>
              <w:t>Measure (EPP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Program</w:t>
            </w:r>
          </w:p>
          <w:p>
            <w:pPr>
              <w:pStyle w:val="TableParagraph"/>
              <w:spacing w:line="249" w:lineRule="exact" w:before="1"/>
              <w:ind w:left="465"/>
              <w:rPr>
                <w:sz w:val="22"/>
              </w:rPr>
            </w:pPr>
            <w:r>
              <w:rPr>
                <w:sz w:val="22"/>
              </w:rPr>
              <w:t>Evaluation web page)</w:t>
            </w:r>
          </w:p>
        </w:tc>
        <w:tc>
          <w:tcPr>
            <w:tcW w:w="3143" w:type="dxa"/>
          </w:tcPr>
          <w:p>
            <w:pPr>
              <w:pStyle w:val="TableParagraph"/>
              <w:spacing w:line="267" w:lineRule="exact"/>
              <w:ind w:left="10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Example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5" w:val="left" w:leader="none"/>
                <w:tab w:pos="466" w:val="left" w:leader="none"/>
              </w:tabs>
              <w:spacing w:line="240" w:lineRule="auto" w:before="0" w:after="0"/>
              <w:ind w:left="465" w:right="116" w:hanging="360"/>
              <w:jc w:val="left"/>
              <w:rPr>
                <w:sz w:val="22"/>
              </w:rPr>
            </w:pPr>
            <w:r>
              <w:rPr>
                <w:sz w:val="22"/>
              </w:rPr>
              <w:t>EPP will continue to monitor certification rule changes especially in relation to licensure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exams</w:t>
            </w:r>
          </w:p>
        </w:tc>
      </w:tr>
      <w:tr>
        <w:trPr>
          <w:trHeight w:val="3492" w:hRule="atLeast"/>
        </w:trPr>
        <w:tc>
          <w:tcPr>
            <w:tcW w:w="1546" w:type="dxa"/>
            <w:shd w:val="clear" w:color="auto" w:fill="DEEAF6"/>
          </w:tcPr>
          <w:p>
            <w:pPr>
              <w:pStyle w:val="TableParagraph"/>
              <w:ind w:left="107" w:right="116"/>
              <w:rPr>
                <w:b/>
                <w:sz w:val="22"/>
              </w:rPr>
            </w:pPr>
            <w:r>
              <w:rPr>
                <w:b/>
                <w:sz w:val="22"/>
              </w:rPr>
              <w:t>1.2 Use research and evidence to understand teaching profession and measure P-12 </w:t>
            </w:r>
            <w:r>
              <w:rPr>
                <w:b/>
                <w:spacing w:val="-3"/>
                <w:sz w:val="22"/>
              </w:rPr>
              <w:t>students’ </w:t>
            </w:r>
            <w:r>
              <w:rPr>
                <w:b/>
                <w:sz w:val="22"/>
              </w:rPr>
              <w:t>progress</w:t>
            </w:r>
          </w:p>
        </w:tc>
        <w:tc>
          <w:tcPr>
            <w:tcW w:w="2861" w:type="dxa"/>
            <w:shd w:val="clear" w:color="auto" w:fill="DEEAF6"/>
          </w:tcPr>
          <w:p>
            <w:pPr>
              <w:pStyle w:val="TableParagraph"/>
              <w:spacing w:line="268" w:lineRule="exact"/>
              <w:ind w:left="10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Example</w:t>
            </w:r>
          </w:p>
          <w:p>
            <w:pPr>
              <w:pStyle w:val="TableParagraph"/>
              <w:ind w:left="107" w:right="146"/>
              <w:rPr>
                <w:sz w:val="22"/>
              </w:rPr>
            </w:pPr>
            <w:r>
              <w:rPr>
                <w:sz w:val="22"/>
              </w:rPr>
              <w:t>CAEP 1.2 Candidate Work Sample – General (ITP Programs in CAL, COE, HHS) Tools: BbLearn Rubric, Business Objects, SharePoint</w:t>
            </w:r>
          </w:p>
        </w:tc>
        <w:tc>
          <w:tcPr>
            <w:tcW w:w="2161" w:type="dxa"/>
            <w:shd w:val="clear" w:color="auto" w:fill="DEEAF6"/>
          </w:tcPr>
          <w:p>
            <w:pPr>
              <w:pStyle w:val="TableParagraph"/>
              <w:spacing w:line="268" w:lineRule="exact"/>
              <w:ind w:left="10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Example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5" w:val="left" w:leader="none"/>
                <w:tab w:pos="466" w:val="left" w:leader="none"/>
              </w:tabs>
              <w:spacing w:line="240" w:lineRule="auto" w:before="0" w:after="0"/>
              <w:ind w:left="465" w:right="733" w:hanging="360"/>
              <w:jc w:val="left"/>
              <w:rPr>
                <w:sz w:val="22"/>
              </w:rPr>
            </w:pPr>
            <w:r>
              <w:rPr>
                <w:sz w:val="22"/>
              </w:rPr>
              <w:t>InTASC </w:t>
            </w:r>
            <w:r>
              <w:rPr>
                <w:spacing w:val="-1"/>
                <w:sz w:val="22"/>
              </w:rPr>
              <w:t>Categories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5" w:val="left" w:leader="none"/>
                <w:tab w:pos="466" w:val="left" w:leader="none"/>
              </w:tabs>
              <w:spacing w:line="240" w:lineRule="auto" w:before="0" w:after="0"/>
              <w:ind w:left="465" w:right="116" w:hanging="360"/>
              <w:jc w:val="left"/>
              <w:rPr>
                <w:sz w:val="22"/>
              </w:rPr>
            </w:pPr>
            <w:r>
              <w:rPr>
                <w:sz w:val="22"/>
              </w:rPr>
              <w:t>Data Literacy Knowledge/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Skills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5" w:val="left" w:leader="none"/>
                <w:tab w:pos="466" w:val="left" w:leader="none"/>
              </w:tabs>
              <w:spacing w:line="240" w:lineRule="auto" w:before="0" w:after="0"/>
              <w:ind w:left="465" w:right="158" w:hanging="360"/>
              <w:jc w:val="left"/>
              <w:rPr>
                <w:sz w:val="22"/>
              </w:rPr>
            </w:pPr>
            <w:r>
              <w:rPr>
                <w:sz w:val="22"/>
              </w:rPr>
              <w:t>Impact on Student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3"/>
                <w:sz w:val="22"/>
              </w:rPr>
              <w:t>Learning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5" w:val="left" w:leader="none"/>
                <w:tab w:pos="466" w:val="left" w:leader="none"/>
              </w:tabs>
              <w:spacing w:line="240" w:lineRule="auto" w:before="0" w:after="0"/>
              <w:ind w:left="465" w:right="655" w:hanging="36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Technology </w:t>
            </w:r>
            <w:r>
              <w:rPr>
                <w:sz w:val="22"/>
              </w:rPr>
              <w:t>Integration</w:t>
            </w:r>
          </w:p>
        </w:tc>
        <w:tc>
          <w:tcPr>
            <w:tcW w:w="2520" w:type="dxa"/>
            <w:shd w:val="clear" w:color="auto" w:fill="DEEAF6"/>
          </w:tcPr>
          <w:p>
            <w:pPr>
              <w:pStyle w:val="TableParagraph"/>
              <w:spacing w:line="268" w:lineRule="exact"/>
              <w:ind w:left="104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Example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4" w:val="left" w:leader="none"/>
                <w:tab w:pos="465" w:val="left" w:leader="none"/>
              </w:tabs>
              <w:spacing w:line="240" w:lineRule="auto" w:before="0" w:after="0"/>
              <w:ind w:left="464" w:right="534" w:hanging="360"/>
              <w:jc w:val="left"/>
              <w:rPr>
                <w:sz w:val="22"/>
              </w:rPr>
            </w:pPr>
            <w:r>
              <w:rPr>
                <w:sz w:val="22"/>
              </w:rPr>
              <w:t>Required performance assessment for student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3"/>
                <w:sz w:val="22"/>
              </w:rPr>
              <w:t>teaching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4" w:val="left" w:leader="none"/>
                <w:tab w:pos="465" w:val="left" w:leader="none"/>
              </w:tabs>
              <w:spacing w:line="240" w:lineRule="auto" w:before="0" w:after="0"/>
              <w:ind w:left="464" w:right="474" w:hanging="360"/>
              <w:jc w:val="left"/>
              <w:rPr>
                <w:sz w:val="22"/>
              </w:rPr>
            </w:pPr>
            <w:r>
              <w:rPr>
                <w:sz w:val="22"/>
              </w:rPr>
              <w:t>Conclusion of Fall and Spring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terms</w:t>
            </w:r>
          </w:p>
        </w:tc>
        <w:tc>
          <w:tcPr>
            <w:tcW w:w="1980" w:type="dxa"/>
            <w:shd w:val="clear" w:color="auto" w:fill="DEEAF6"/>
          </w:tcPr>
          <w:p>
            <w:pPr>
              <w:pStyle w:val="TableParagraph"/>
              <w:spacing w:line="268" w:lineRule="exact"/>
              <w:ind w:left="10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Example</w:t>
            </w:r>
          </w:p>
          <w:p>
            <w:pPr>
              <w:pStyle w:val="TableParagraph"/>
              <w:ind w:left="105" w:right="324"/>
              <w:rPr>
                <w:sz w:val="22"/>
              </w:rPr>
            </w:pPr>
            <w:r>
              <w:rPr>
                <w:sz w:val="22"/>
              </w:rPr>
              <w:t>Fall, even years </w:t>
            </w:r>
            <w:r>
              <w:rPr>
                <w:spacing w:val="-12"/>
                <w:sz w:val="22"/>
              </w:rPr>
              <w:t>– </w:t>
            </w:r>
            <w:r>
              <w:rPr>
                <w:sz w:val="22"/>
              </w:rPr>
              <w:t>program level Fall, odd years – EPP wide</w:t>
            </w:r>
          </w:p>
        </w:tc>
        <w:tc>
          <w:tcPr>
            <w:tcW w:w="3060" w:type="dxa"/>
            <w:shd w:val="clear" w:color="auto" w:fill="DEEAF6"/>
          </w:tcPr>
          <w:p>
            <w:pPr>
              <w:pStyle w:val="TableParagraph"/>
              <w:spacing w:line="268" w:lineRule="exact"/>
              <w:ind w:left="10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Example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5" w:val="left" w:leader="none"/>
                <w:tab w:pos="466" w:val="left" w:leader="none"/>
              </w:tabs>
              <w:spacing w:line="240" w:lineRule="auto" w:before="0" w:after="0"/>
              <w:ind w:left="465" w:right="494" w:hanging="360"/>
              <w:jc w:val="left"/>
              <w:rPr>
                <w:sz w:val="22"/>
              </w:rPr>
            </w:pPr>
            <w:r>
              <w:rPr>
                <w:sz w:val="22"/>
              </w:rPr>
              <w:t>Program Review (SPA Reports, Assessment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5)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5" w:val="left" w:leader="none"/>
                <w:tab w:pos="466" w:val="left" w:leader="none"/>
              </w:tabs>
              <w:spacing w:line="240" w:lineRule="auto" w:before="0" w:after="0"/>
              <w:ind w:left="465" w:right="250" w:hanging="360"/>
              <w:jc w:val="left"/>
              <w:rPr>
                <w:sz w:val="22"/>
              </w:rPr>
            </w:pPr>
            <w:r>
              <w:rPr>
                <w:sz w:val="22"/>
              </w:rPr>
              <w:t>EPP Review (EPP Evidence File,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1.1)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5" w:val="left" w:leader="none"/>
                <w:tab w:pos="466" w:val="left" w:leader="none"/>
              </w:tabs>
              <w:spacing w:line="267" w:lineRule="exact" w:before="0" w:after="0"/>
              <w:ind w:left="46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Stakeholder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Meetings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6" w:val="left" w:leader="none"/>
              </w:tabs>
              <w:spacing w:line="240" w:lineRule="auto" w:before="1" w:after="0"/>
              <w:ind w:left="465" w:right="503" w:hanging="360"/>
              <w:jc w:val="both"/>
              <w:rPr>
                <w:sz w:val="22"/>
              </w:rPr>
            </w:pPr>
            <w:r>
              <w:rPr>
                <w:sz w:val="22"/>
              </w:rPr>
              <w:t>CAEP Annual </w:t>
            </w:r>
            <w:r>
              <w:rPr>
                <w:spacing w:val="-3"/>
                <w:sz w:val="22"/>
              </w:rPr>
              <w:t>Reporting </w:t>
            </w:r>
            <w:r>
              <w:rPr>
                <w:sz w:val="22"/>
              </w:rPr>
              <w:t>Measure (EPP Program Evaluation web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page)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5" w:val="left" w:leader="none"/>
                <w:tab w:pos="466" w:val="left" w:leader="none"/>
              </w:tabs>
              <w:spacing w:line="240" w:lineRule="auto" w:before="1" w:after="0"/>
              <w:ind w:left="465" w:right="143" w:hanging="360"/>
              <w:jc w:val="left"/>
              <w:rPr>
                <w:sz w:val="22"/>
              </w:rPr>
            </w:pPr>
            <w:r>
              <w:rPr>
                <w:sz w:val="22"/>
              </w:rPr>
              <w:t>Compare to Student Teaching Evaluation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results</w:t>
            </w:r>
          </w:p>
        </w:tc>
        <w:tc>
          <w:tcPr>
            <w:tcW w:w="3143" w:type="dxa"/>
            <w:shd w:val="clear" w:color="auto" w:fill="DEEAF6"/>
          </w:tcPr>
          <w:p>
            <w:pPr>
              <w:pStyle w:val="TableParagraph"/>
              <w:spacing w:line="268" w:lineRule="exact"/>
              <w:ind w:left="10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Example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5" w:val="left" w:leader="none"/>
                <w:tab w:pos="466" w:val="left" w:leader="none"/>
              </w:tabs>
              <w:spacing w:line="240" w:lineRule="auto" w:before="0" w:after="0"/>
              <w:ind w:left="46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AY 2014-2015 and AY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2015-</w:t>
            </w:r>
          </w:p>
          <w:p>
            <w:pPr>
              <w:pStyle w:val="TableParagraph"/>
              <w:ind w:left="465" w:right="218"/>
              <w:rPr>
                <w:sz w:val="22"/>
              </w:rPr>
            </w:pPr>
            <w:r>
              <w:rPr>
                <w:sz w:val="22"/>
              </w:rPr>
              <w:t>2016, instrument was reviewed multiple times by groups including university supervisors, faculty, cooperating teachers, students, and administrators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5" w:val="left" w:leader="none"/>
                <w:tab w:pos="466" w:val="left" w:leader="none"/>
              </w:tabs>
              <w:spacing w:line="240" w:lineRule="auto" w:before="0" w:after="0"/>
              <w:ind w:left="465" w:right="427" w:hanging="360"/>
              <w:jc w:val="left"/>
              <w:rPr>
                <w:sz w:val="22"/>
              </w:rPr>
            </w:pPr>
            <w:r>
              <w:rPr>
                <w:sz w:val="22"/>
              </w:rPr>
              <w:t>AY 2015-2016 feedback gathered from 14 district stakeholders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meetings</w:t>
            </w:r>
          </w:p>
          <w:p>
            <w:pPr>
              <w:pStyle w:val="TableParagraph"/>
              <w:spacing w:line="249" w:lineRule="exact" w:before="1"/>
              <w:ind w:left="465"/>
              <w:rPr>
                <w:sz w:val="22"/>
              </w:rPr>
            </w:pPr>
            <w:r>
              <w:rPr>
                <w:sz w:val="22"/>
              </w:rPr>
              <w:t>which included district</w:t>
            </w:r>
          </w:p>
        </w:tc>
      </w:tr>
    </w:tbl>
    <w:p>
      <w:pPr>
        <w:spacing w:after="0" w:line="249" w:lineRule="exact"/>
        <w:rPr>
          <w:sz w:val="22"/>
        </w:rPr>
        <w:sectPr>
          <w:footerReference w:type="default" r:id="rId5"/>
          <w:type w:val="continuous"/>
          <w:pgSz w:w="20160" w:h="12240" w:orient="landscape"/>
          <w:pgMar w:footer="1470" w:top="1140" w:bottom="1660" w:left="1340" w:right="1320"/>
          <w:pgNumType w:start="1"/>
        </w:sectPr>
      </w:pPr>
    </w:p>
    <w:p>
      <w:pPr>
        <w:pStyle w:val="BodyText"/>
        <w:spacing w:before="1"/>
        <w:rPr>
          <w:rFonts w:ascii="Times New Roman"/>
          <w:sz w:val="26"/>
        </w:rPr>
      </w:pPr>
    </w:p>
    <w:tbl>
      <w:tblPr>
        <w:tblW w:w="0" w:type="auto"/>
        <w:jc w:val="left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6"/>
        <w:gridCol w:w="2861"/>
        <w:gridCol w:w="2161"/>
        <w:gridCol w:w="2520"/>
        <w:gridCol w:w="1980"/>
        <w:gridCol w:w="3060"/>
        <w:gridCol w:w="3143"/>
      </w:tblGrid>
      <w:tr>
        <w:trPr>
          <w:trHeight w:val="537" w:hRule="atLeast"/>
        </w:trPr>
        <w:tc>
          <w:tcPr>
            <w:tcW w:w="1546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1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6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43" w:type="dxa"/>
            <w:shd w:val="clear" w:color="auto" w:fill="DEEAF6"/>
          </w:tcPr>
          <w:p>
            <w:pPr>
              <w:pStyle w:val="TableParagraph"/>
              <w:spacing w:line="268" w:lineRule="exact"/>
              <w:ind w:left="465"/>
              <w:rPr>
                <w:sz w:val="22"/>
              </w:rPr>
            </w:pPr>
            <w:r>
              <w:rPr>
                <w:sz w:val="22"/>
              </w:rPr>
              <w:t>administrators, principals,</w:t>
            </w:r>
          </w:p>
          <w:p>
            <w:pPr>
              <w:pStyle w:val="TableParagraph"/>
              <w:spacing w:line="249" w:lineRule="exact"/>
              <w:ind w:left="465"/>
              <w:rPr>
                <w:sz w:val="22"/>
              </w:rPr>
            </w:pPr>
            <w:r>
              <w:rPr>
                <w:sz w:val="22"/>
              </w:rPr>
              <w:t>and cooperating teachers</w:t>
            </w:r>
          </w:p>
        </w:tc>
      </w:tr>
      <w:tr>
        <w:trPr>
          <w:trHeight w:val="2685" w:hRule="atLeast"/>
        </w:trPr>
        <w:tc>
          <w:tcPr>
            <w:tcW w:w="1546" w:type="dxa"/>
          </w:tcPr>
          <w:p>
            <w:pPr>
              <w:pStyle w:val="TableParagraph"/>
              <w:ind w:left="107" w:right="98"/>
              <w:rPr>
                <w:b/>
                <w:sz w:val="22"/>
              </w:rPr>
            </w:pPr>
            <w:r>
              <w:rPr>
                <w:b/>
                <w:sz w:val="22"/>
              </w:rPr>
              <w:t>1.3 Apply content and pedagogical knowledge related to SPA or other state/national teaching profession</w:t>
            </w:r>
          </w:p>
          <w:p>
            <w:pPr>
              <w:pStyle w:val="TableParagraph"/>
              <w:spacing w:line="249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standards</w:t>
            </w:r>
          </w:p>
        </w:tc>
        <w:tc>
          <w:tcPr>
            <w:tcW w:w="28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47" w:hRule="atLeast"/>
        </w:trPr>
        <w:tc>
          <w:tcPr>
            <w:tcW w:w="1546" w:type="dxa"/>
            <w:shd w:val="clear" w:color="auto" w:fill="DEEAF6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1.4</w:t>
            </w:r>
          </w:p>
          <w:p>
            <w:pPr>
              <w:pStyle w:val="TableParagraph"/>
              <w:ind w:left="107" w:right="220"/>
              <w:rPr>
                <w:b/>
                <w:sz w:val="22"/>
              </w:rPr>
            </w:pPr>
            <w:r>
              <w:rPr>
                <w:b/>
                <w:sz w:val="22"/>
              </w:rPr>
              <w:t>Demonstrate skills and commitment to P-12 college- and career-ready</w:t>
            </w:r>
          </w:p>
          <w:p>
            <w:pPr>
              <w:pStyle w:val="TableParagraph"/>
              <w:spacing w:line="249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standards</w:t>
            </w:r>
          </w:p>
        </w:tc>
        <w:tc>
          <w:tcPr>
            <w:tcW w:w="2861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6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43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12" w:hRule="atLeast"/>
        </w:trPr>
        <w:tc>
          <w:tcPr>
            <w:tcW w:w="1546" w:type="dxa"/>
          </w:tcPr>
          <w:p>
            <w:pPr>
              <w:pStyle w:val="TableParagraph"/>
              <w:spacing w:before="1"/>
              <w:ind w:left="107" w:right="89"/>
              <w:rPr>
                <w:b/>
                <w:sz w:val="22"/>
              </w:rPr>
            </w:pPr>
            <w:r>
              <w:rPr>
                <w:b/>
                <w:sz w:val="22"/>
              </w:rPr>
              <w:t>1.5 Model and apply technology standards to engage</w:t>
            </w:r>
          </w:p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students</w:t>
            </w:r>
          </w:p>
        </w:tc>
        <w:tc>
          <w:tcPr>
            <w:tcW w:w="28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6"/>
        </w:rPr>
      </w:pPr>
    </w:p>
    <w:tbl>
      <w:tblPr>
        <w:tblW w:w="0" w:type="auto"/>
        <w:jc w:val="left"/>
        <w:tblInd w:w="112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2880"/>
        <w:gridCol w:w="2161"/>
        <w:gridCol w:w="2520"/>
        <w:gridCol w:w="2969"/>
        <w:gridCol w:w="2340"/>
        <w:gridCol w:w="2879"/>
      </w:tblGrid>
      <w:tr>
        <w:trPr>
          <w:trHeight w:val="312" w:hRule="atLeast"/>
        </w:trPr>
        <w:tc>
          <w:tcPr>
            <w:tcW w:w="17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>
            <w:pPr>
              <w:pStyle w:val="TableParagraph"/>
              <w:spacing w:line="283" w:lineRule="exact" w:before="9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CAEP Standard #2 Clinical Partnerships and Practice</w:t>
            </w:r>
          </w:p>
        </w:tc>
      </w:tr>
      <w:tr>
        <w:trPr>
          <w:trHeight w:val="806" w:hRule="atLeast"/>
        </w:trPr>
        <w:tc>
          <w:tcPr>
            <w:tcW w:w="1527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CAEP</w:t>
            </w:r>
          </w:p>
          <w:p>
            <w:pPr>
              <w:pStyle w:val="TableParagraph"/>
              <w:spacing w:line="270" w:lineRule="atLeast"/>
              <w:ind w:left="107" w:right="316"/>
              <w:rPr>
                <w:b/>
                <w:sz w:val="22"/>
              </w:rPr>
            </w:pPr>
            <w:r>
              <w:rPr>
                <w:b/>
                <w:sz w:val="22"/>
              </w:rPr>
              <w:t>Standard Component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6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Evidence &amp; Implementation</w:t>
            </w:r>
          </w:p>
        </w:tc>
        <w:tc>
          <w:tcPr>
            <w:tcW w:w="2161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6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Arrangement of Data</w:t>
            </w:r>
          </w:p>
        </w:tc>
        <w:tc>
          <w:tcPr>
            <w:tcW w:w="2520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68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Administration Schedule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6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Formal Data Review Schedule</w:t>
            </w:r>
          </w:p>
        </w:tc>
        <w:tc>
          <w:tcPr>
            <w:tcW w:w="2340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Use of Data</w:t>
            </w:r>
          </w:p>
        </w:tc>
        <w:tc>
          <w:tcPr>
            <w:tcW w:w="2879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107" w:right="671"/>
              <w:rPr>
                <w:b/>
                <w:sz w:val="22"/>
              </w:rPr>
            </w:pPr>
            <w:r>
              <w:rPr>
                <w:b/>
                <w:sz w:val="22"/>
              </w:rPr>
              <w:t>Review of Instrument/ Documentation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1470" w:top="1140" w:bottom="1660" w:left="1340" w:right="1320"/>
        </w:sectPr>
      </w:pPr>
    </w:p>
    <w:p>
      <w:pPr>
        <w:pStyle w:val="BodyText"/>
        <w:spacing w:before="1"/>
        <w:rPr>
          <w:rFonts w:ascii="Times New Roman"/>
          <w:sz w:val="26"/>
        </w:rPr>
      </w:pPr>
    </w:p>
    <w:tbl>
      <w:tblPr>
        <w:tblW w:w="0" w:type="auto"/>
        <w:jc w:val="left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2880"/>
        <w:gridCol w:w="2161"/>
        <w:gridCol w:w="2520"/>
        <w:gridCol w:w="2969"/>
        <w:gridCol w:w="2340"/>
        <w:gridCol w:w="2879"/>
      </w:tblGrid>
      <w:tr>
        <w:trPr>
          <w:trHeight w:val="1074" w:hRule="atLeast"/>
        </w:trPr>
        <w:tc>
          <w:tcPr>
            <w:tcW w:w="1527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2.1</w:t>
            </w:r>
          </w:p>
          <w:p>
            <w:pPr>
              <w:pStyle w:val="TableParagraph"/>
              <w:spacing w:line="270" w:lineRule="atLeast"/>
              <w:ind w:left="107" w:right="237"/>
              <w:rPr>
                <w:b/>
                <w:sz w:val="22"/>
              </w:rPr>
            </w:pPr>
            <w:r>
              <w:rPr>
                <w:b/>
                <w:sz w:val="22"/>
              </w:rPr>
              <w:t>Partnerships for Clinical Preparation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1527" w:type="dxa"/>
            <w:shd w:val="clear" w:color="auto" w:fill="DEEAF6"/>
          </w:tcPr>
          <w:p>
            <w:pPr>
              <w:pStyle w:val="TableParagraph"/>
              <w:spacing w:line="265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2.2 Clinical</w:t>
            </w:r>
          </w:p>
          <w:p>
            <w:pPr>
              <w:pStyle w:val="TableParagraph"/>
              <w:spacing w:line="249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Educators</w:t>
            </w:r>
          </w:p>
        </w:tc>
        <w:tc>
          <w:tcPr>
            <w:tcW w:w="288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6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527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2.3 Clinical</w:t>
            </w:r>
          </w:p>
          <w:p>
            <w:pPr>
              <w:pStyle w:val="TableParagraph"/>
              <w:spacing w:line="249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Experiences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4"/>
        </w:rPr>
      </w:pPr>
    </w:p>
    <w:tbl>
      <w:tblPr>
        <w:tblW w:w="0" w:type="auto"/>
        <w:jc w:val="left"/>
        <w:tblInd w:w="112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2880"/>
        <w:gridCol w:w="2161"/>
        <w:gridCol w:w="2520"/>
        <w:gridCol w:w="2969"/>
        <w:gridCol w:w="2340"/>
        <w:gridCol w:w="2879"/>
      </w:tblGrid>
      <w:tr>
        <w:trPr>
          <w:trHeight w:val="311" w:hRule="atLeast"/>
        </w:trPr>
        <w:tc>
          <w:tcPr>
            <w:tcW w:w="17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>
            <w:pPr>
              <w:pStyle w:val="TableParagraph"/>
              <w:spacing w:line="283" w:lineRule="exact" w:before="9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CAEP Standard #3 Candidate Quality, Recruitment, and Selectivity</w:t>
            </w:r>
          </w:p>
        </w:tc>
      </w:tr>
      <w:tr>
        <w:trPr>
          <w:trHeight w:val="806" w:hRule="atLeast"/>
        </w:trPr>
        <w:tc>
          <w:tcPr>
            <w:tcW w:w="1527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CAEP</w:t>
            </w:r>
          </w:p>
          <w:p>
            <w:pPr>
              <w:pStyle w:val="TableParagraph"/>
              <w:spacing w:line="270" w:lineRule="atLeast"/>
              <w:ind w:left="107" w:right="316"/>
              <w:rPr>
                <w:b/>
                <w:sz w:val="22"/>
              </w:rPr>
            </w:pPr>
            <w:r>
              <w:rPr>
                <w:b/>
                <w:sz w:val="22"/>
              </w:rPr>
              <w:t>Standard Component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6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Evidence &amp; Implementation</w:t>
            </w:r>
          </w:p>
        </w:tc>
        <w:tc>
          <w:tcPr>
            <w:tcW w:w="2161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6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Arrangement of Data</w:t>
            </w:r>
          </w:p>
        </w:tc>
        <w:tc>
          <w:tcPr>
            <w:tcW w:w="2520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68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Administration Schedule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6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Formal Data Review Schedule</w:t>
            </w:r>
          </w:p>
        </w:tc>
        <w:tc>
          <w:tcPr>
            <w:tcW w:w="2340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Use of Data</w:t>
            </w:r>
          </w:p>
        </w:tc>
        <w:tc>
          <w:tcPr>
            <w:tcW w:w="2879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107" w:right="671"/>
              <w:rPr>
                <w:b/>
                <w:sz w:val="22"/>
              </w:rPr>
            </w:pPr>
            <w:r>
              <w:rPr>
                <w:b/>
                <w:sz w:val="22"/>
              </w:rPr>
              <w:t>Review of Instrument/ Documentation</w:t>
            </w:r>
          </w:p>
        </w:tc>
      </w:tr>
      <w:tr>
        <w:trPr>
          <w:trHeight w:val="1877" w:hRule="atLeast"/>
        </w:trPr>
        <w:tc>
          <w:tcPr>
            <w:tcW w:w="1527" w:type="dxa"/>
          </w:tcPr>
          <w:p>
            <w:pPr>
              <w:pStyle w:val="TableParagraph"/>
              <w:ind w:left="107" w:right="221"/>
              <w:rPr>
                <w:b/>
                <w:sz w:val="22"/>
              </w:rPr>
            </w:pPr>
            <w:r>
              <w:rPr>
                <w:b/>
                <w:sz w:val="22"/>
              </w:rPr>
              <w:t>3.1 Plan for recruitment of diverse candidates who meet employment</w:t>
            </w:r>
          </w:p>
          <w:p>
            <w:pPr>
              <w:pStyle w:val="TableParagraph"/>
              <w:spacing w:line="249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needs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43" w:hRule="atLeast"/>
        </w:trPr>
        <w:tc>
          <w:tcPr>
            <w:tcW w:w="1527" w:type="dxa"/>
            <w:shd w:val="clear" w:color="auto" w:fill="DEEAF6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3.2</w:t>
            </w:r>
          </w:p>
          <w:p>
            <w:pPr>
              <w:pStyle w:val="TableParagraph"/>
              <w:spacing w:line="270" w:lineRule="atLeast"/>
              <w:ind w:left="107" w:right="207"/>
              <w:rPr>
                <w:b/>
                <w:sz w:val="22"/>
              </w:rPr>
            </w:pPr>
            <w:r>
              <w:rPr>
                <w:b/>
                <w:sz w:val="22"/>
              </w:rPr>
              <w:t>Candidates demonstrate academic achievement</w:t>
            </w:r>
          </w:p>
        </w:tc>
        <w:tc>
          <w:tcPr>
            <w:tcW w:w="288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6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2" w:hRule="atLeast"/>
        </w:trPr>
        <w:tc>
          <w:tcPr>
            <w:tcW w:w="1527" w:type="dxa"/>
          </w:tcPr>
          <w:p>
            <w:pPr>
              <w:pStyle w:val="TableParagraph"/>
              <w:spacing w:line="26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3.3 Additional</w:t>
            </w:r>
          </w:p>
          <w:p>
            <w:pPr>
              <w:pStyle w:val="TableParagraph"/>
              <w:spacing w:line="270" w:lineRule="atLeast"/>
              <w:ind w:left="107" w:right="465"/>
              <w:rPr>
                <w:b/>
                <w:sz w:val="22"/>
              </w:rPr>
            </w:pPr>
            <w:r>
              <w:rPr>
                <w:b/>
                <w:sz w:val="22"/>
              </w:rPr>
              <w:t>selectivity factors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4" w:hRule="atLeast"/>
        </w:trPr>
        <w:tc>
          <w:tcPr>
            <w:tcW w:w="1527" w:type="dxa"/>
            <w:shd w:val="clear" w:color="auto" w:fill="DEEAF6"/>
          </w:tcPr>
          <w:p>
            <w:pPr>
              <w:pStyle w:val="TableParagraph"/>
              <w:ind w:left="107" w:right="118"/>
              <w:rPr>
                <w:b/>
                <w:sz w:val="22"/>
              </w:rPr>
            </w:pPr>
            <w:r>
              <w:rPr>
                <w:b/>
                <w:sz w:val="22"/>
              </w:rPr>
              <w:t>3.4 Selectivity during</w:t>
            </w:r>
          </w:p>
          <w:p>
            <w:pPr>
              <w:pStyle w:val="TableParagraph"/>
              <w:spacing w:line="249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preparation</w:t>
            </w:r>
          </w:p>
        </w:tc>
        <w:tc>
          <w:tcPr>
            <w:tcW w:w="288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6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20160" w:h="12240" w:orient="landscape"/>
          <w:pgMar w:header="0" w:footer="1470" w:top="1140" w:bottom="1660" w:left="1340" w:right="1320"/>
        </w:sectPr>
      </w:pPr>
    </w:p>
    <w:p>
      <w:pPr>
        <w:pStyle w:val="BodyText"/>
        <w:spacing w:before="1"/>
        <w:rPr>
          <w:rFonts w:ascii="Times New Roman"/>
          <w:sz w:val="26"/>
        </w:rPr>
      </w:pPr>
    </w:p>
    <w:tbl>
      <w:tblPr>
        <w:tblW w:w="0" w:type="auto"/>
        <w:jc w:val="left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2880"/>
        <w:gridCol w:w="2161"/>
        <w:gridCol w:w="2520"/>
        <w:gridCol w:w="2969"/>
        <w:gridCol w:w="2340"/>
        <w:gridCol w:w="2879"/>
      </w:tblGrid>
      <w:tr>
        <w:trPr>
          <w:trHeight w:val="537" w:hRule="atLeast"/>
        </w:trPr>
        <w:tc>
          <w:tcPr>
            <w:tcW w:w="1527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3.5 Selection</w:t>
            </w:r>
          </w:p>
          <w:p>
            <w:pPr>
              <w:pStyle w:val="TableParagraph"/>
              <w:spacing w:line="249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at completion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527" w:type="dxa"/>
            <w:shd w:val="clear" w:color="auto" w:fill="DEEAF6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3.6 Selection</w:t>
            </w:r>
          </w:p>
          <w:p>
            <w:pPr>
              <w:pStyle w:val="TableParagraph"/>
              <w:spacing w:line="249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at completion</w:t>
            </w:r>
          </w:p>
        </w:tc>
        <w:tc>
          <w:tcPr>
            <w:tcW w:w="288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6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 w:after="1"/>
        <w:rPr>
          <w:rFonts w:ascii="Times New Roman"/>
          <w:sz w:val="24"/>
        </w:rPr>
      </w:pPr>
    </w:p>
    <w:tbl>
      <w:tblPr>
        <w:tblW w:w="0" w:type="auto"/>
        <w:jc w:val="left"/>
        <w:tblInd w:w="112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2880"/>
        <w:gridCol w:w="2161"/>
        <w:gridCol w:w="2520"/>
        <w:gridCol w:w="2969"/>
        <w:gridCol w:w="2340"/>
        <w:gridCol w:w="2879"/>
      </w:tblGrid>
      <w:tr>
        <w:trPr>
          <w:trHeight w:val="314" w:hRule="atLeast"/>
        </w:trPr>
        <w:tc>
          <w:tcPr>
            <w:tcW w:w="17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>
            <w:pPr>
              <w:pStyle w:val="TableParagraph"/>
              <w:spacing w:line="285" w:lineRule="exact" w:before="9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CAEP Standard #4 Program Impact</w:t>
            </w:r>
          </w:p>
        </w:tc>
      </w:tr>
      <w:tr>
        <w:trPr>
          <w:trHeight w:val="804" w:hRule="atLeast"/>
        </w:trPr>
        <w:tc>
          <w:tcPr>
            <w:tcW w:w="1527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65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CAEP</w:t>
            </w:r>
          </w:p>
          <w:p>
            <w:pPr>
              <w:pStyle w:val="TableParagraph"/>
              <w:spacing w:line="270" w:lineRule="atLeast"/>
              <w:ind w:left="107" w:right="316"/>
              <w:rPr>
                <w:b/>
                <w:sz w:val="22"/>
              </w:rPr>
            </w:pPr>
            <w:r>
              <w:rPr>
                <w:b/>
                <w:sz w:val="22"/>
              </w:rPr>
              <w:t>Standard Component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65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Evidence &amp; Implementation</w:t>
            </w:r>
          </w:p>
        </w:tc>
        <w:tc>
          <w:tcPr>
            <w:tcW w:w="2161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65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Arrangement of Data</w:t>
            </w:r>
          </w:p>
        </w:tc>
        <w:tc>
          <w:tcPr>
            <w:tcW w:w="2520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65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Administration Schedule</w:t>
            </w:r>
          </w:p>
        </w:tc>
        <w:tc>
          <w:tcPr>
            <w:tcW w:w="2969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65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Formal Data Review Schedule</w:t>
            </w:r>
          </w:p>
        </w:tc>
        <w:tc>
          <w:tcPr>
            <w:tcW w:w="2340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65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Use of Data</w:t>
            </w:r>
          </w:p>
        </w:tc>
        <w:tc>
          <w:tcPr>
            <w:tcW w:w="2879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107" w:right="671"/>
              <w:rPr>
                <w:b/>
                <w:sz w:val="22"/>
              </w:rPr>
            </w:pPr>
            <w:r>
              <w:rPr>
                <w:b/>
                <w:sz w:val="22"/>
              </w:rPr>
              <w:t>Review of Instrument/ Documentation</w:t>
            </w:r>
          </w:p>
        </w:tc>
      </w:tr>
      <w:tr>
        <w:trPr>
          <w:trHeight w:val="1073" w:hRule="atLeast"/>
        </w:trPr>
        <w:tc>
          <w:tcPr>
            <w:tcW w:w="1527" w:type="dxa"/>
          </w:tcPr>
          <w:p>
            <w:pPr>
              <w:pStyle w:val="TableParagraph"/>
              <w:ind w:left="107" w:right="156"/>
              <w:rPr>
                <w:b/>
                <w:sz w:val="22"/>
              </w:rPr>
            </w:pPr>
            <w:r>
              <w:rPr>
                <w:b/>
                <w:sz w:val="22"/>
              </w:rPr>
              <w:t>4.1 Impact on P-12 student learning and</w:t>
            </w:r>
          </w:p>
          <w:p>
            <w:pPr>
              <w:pStyle w:val="TableParagraph"/>
              <w:spacing w:line="249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development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1527" w:type="dxa"/>
            <w:shd w:val="clear" w:color="auto" w:fill="DEEAF6"/>
          </w:tcPr>
          <w:p>
            <w:pPr>
              <w:pStyle w:val="TableParagraph"/>
              <w:ind w:left="107" w:right="148"/>
              <w:rPr>
                <w:b/>
                <w:sz w:val="22"/>
              </w:rPr>
            </w:pPr>
            <w:r>
              <w:rPr>
                <w:b/>
                <w:sz w:val="22"/>
              </w:rPr>
              <w:t>4.2 Indicators of teaching</w:t>
            </w:r>
          </w:p>
          <w:p>
            <w:pPr>
              <w:pStyle w:val="TableParagraph"/>
              <w:spacing w:line="249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effectiveness</w:t>
            </w:r>
          </w:p>
        </w:tc>
        <w:tc>
          <w:tcPr>
            <w:tcW w:w="288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6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1527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4.3</w:t>
            </w:r>
          </w:p>
          <w:p>
            <w:pPr>
              <w:pStyle w:val="TableParagraph"/>
              <w:spacing w:line="270" w:lineRule="atLeast"/>
              <w:ind w:left="107" w:right="84"/>
              <w:rPr>
                <w:b/>
                <w:sz w:val="22"/>
              </w:rPr>
            </w:pPr>
            <w:r>
              <w:rPr>
                <w:b/>
                <w:sz w:val="22"/>
              </w:rPr>
              <w:t>Satisfaction of employers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4" w:hRule="atLeast"/>
        </w:trPr>
        <w:tc>
          <w:tcPr>
            <w:tcW w:w="1527" w:type="dxa"/>
            <w:shd w:val="clear" w:color="auto" w:fill="DEEAF6"/>
          </w:tcPr>
          <w:p>
            <w:pPr>
              <w:pStyle w:val="TableParagraph"/>
              <w:spacing w:line="266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4.4</w:t>
            </w:r>
          </w:p>
          <w:p>
            <w:pPr>
              <w:pStyle w:val="TableParagraph"/>
              <w:spacing w:line="270" w:lineRule="atLeast"/>
              <w:ind w:left="107" w:right="84"/>
              <w:rPr>
                <w:b/>
                <w:sz w:val="22"/>
              </w:rPr>
            </w:pPr>
            <w:r>
              <w:rPr>
                <w:b/>
                <w:sz w:val="22"/>
              </w:rPr>
              <w:t>Satisfaction of completers</w:t>
            </w:r>
          </w:p>
        </w:tc>
        <w:tc>
          <w:tcPr>
            <w:tcW w:w="288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6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 w:after="1"/>
        <w:rPr>
          <w:rFonts w:ascii="Times New Roman"/>
          <w:sz w:val="24"/>
        </w:rPr>
      </w:pPr>
    </w:p>
    <w:tbl>
      <w:tblPr>
        <w:tblW w:w="0" w:type="auto"/>
        <w:jc w:val="left"/>
        <w:tblInd w:w="112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9"/>
        <w:gridCol w:w="2508"/>
        <w:gridCol w:w="3356"/>
        <w:gridCol w:w="2329"/>
        <w:gridCol w:w="2581"/>
        <w:gridCol w:w="2238"/>
        <w:gridCol w:w="2739"/>
      </w:tblGrid>
      <w:tr>
        <w:trPr>
          <w:trHeight w:val="311" w:hRule="atLeast"/>
        </w:trPr>
        <w:tc>
          <w:tcPr>
            <w:tcW w:w="17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>
            <w:pPr>
              <w:pStyle w:val="TableParagraph"/>
              <w:spacing w:line="283" w:lineRule="exact" w:before="9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CAEP Standard #5 Provider Quality, Continuous Improvement, and Capacity</w:t>
            </w:r>
          </w:p>
        </w:tc>
      </w:tr>
      <w:tr>
        <w:trPr>
          <w:trHeight w:val="806" w:hRule="atLeast"/>
        </w:trPr>
        <w:tc>
          <w:tcPr>
            <w:tcW w:w="1529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CAEP</w:t>
            </w:r>
          </w:p>
          <w:p>
            <w:pPr>
              <w:pStyle w:val="TableParagraph"/>
              <w:spacing w:line="270" w:lineRule="atLeast"/>
              <w:ind w:left="107" w:right="318"/>
              <w:rPr>
                <w:b/>
                <w:sz w:val="22"/>
              </w:rPr>
            </w:pPr>
            <w:r>
              <w:rPr>
                <w:b/>
                <w:sz w:val="22"/>
              </w:rPr>
              <w:t>Standard Component</w:t>
            </w:r>
          </w:p>
        </w:tc>
        <w:tc>
          <w:tcPr>
            <w:tcW w:w="2508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108" w:right="890"/>
              <w:rPr>
                <w:b/>
                <w:sz w:val="22"/>
              </w:rPr>
            </w:pPr>
            <w:r>
              <w:rPr>
                <w:b/>
                <w:sz w:val="22"/>
              </w:rPr>
              <w:t>Evidence &amp; Implementation</w:t>
            </w:r>
          </w:p>
        </w:tc>
        <w:tc>
          <w:tcPr>
            <w:tcW w:w="3356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Arrangement of Data</w:t>
            </w:r>
          </w:p>
        </w:tc>
        <w:tc>
          <w:tcPr>
            <w:tcW w:w="2329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107" w:right="818"/>
              <w:rPr>
                <w:b/>
                <w:sz w:val="22"/>
              </w:rPr>
            </w:pPr>
            <w:r>
              <w:rPr>
                <w:b/>
                <w:sz w:val="22"/>
              </w:rPr>
              <w:t>Administration Schedule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107" w:right="605"/>
              <w:rPr>
                <w:b/>
                <w:sz w:val="22"/>
              </w:rPr>
            </w:pPr>
            <w:r>
              <w:rPr>
                <w:b/>
                <w:sz w:val="22"/>
              </w:rPr>
              <w:t>Formal Data Review Schedule</w:t>
            </w:r>
          </w:p>
        </w:tc>
        <w:tc>
          <w:tcPr>
            <w:tcW w:w="2238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68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Use of Data</w:t>
            </w:r>
          </w:p>
        </w:tc>
        <w:tc>
          <w:tcPr>
            <w:tcW w:w="2739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105" w:right="533"/>
              <w:rPr>
                <w:b/>
                <w:sz w:val="22"/>
              </w:rPr>
            </w:pPr>
            <w:r>
              <w:rPr>
                <w:b/>
                <w:sz w:val="22"/>
              </w:rPr>
              <w:t>Review of Instrument/ Documentation</w:t>
            </w:r>
          </w:p>
        </w:tc>
      </w:tr>
      <w:tr>
        <w:trPr>
          <w:trHeight w:val="1073" w:hRule="atLeast"/>
        </w:trPr>
        <w:tc>
          <w:tcPr>
            <w:tcW w:w="1529" w:type="dxa"/>
          </w:tcPr>
          <w:p>
            <w:pPr>
              <w:pStyle w:val="TableParagraph"/>
              <w:ind w:left="107" w:right="209"/>
              <w:rPr>
                <w:b/>
                <w:sz w:val="22"/>
              </w:rPr>
            </w:pPr>
            <w:r>
              <w:rPr>
                <w:b/>
                <w:sz w:val="22"/>
              </w:rPr>
              <w:t>5.1 Quality and strategic</w:t>
            </w:r>
          </w:p>
          <w:p>
            <w:pPr>
              <w:pStyle w:val="TableParagraph"/>
              <w:spacing w:line="270" w:lineRule="atLeast"/>
              <w:ind w:left="107" w:right="360"/>
              <w:rPr>
                <w:b/>
                <w:sz w:val="22"/>
              </w:rPr>
            </w:pPr>
            <w:r>
              <w:rPr>
                <w:b/>
                <w:sz w:val="22"/>
              </w:rPr>
              <w:t>evaluation: Quality</w:t>
            </w: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20160" w:h="12240" w:orient="landscape"/>
          <w:pgMar w:header="0" w:footer="1470" w:top="1140" w:bottom="1660" w:left="1340" w:right="1320"/>
        </w:sectPr>
      </w:pPr>
    </w:p>
    <w:p>
      <w:pPr>
        <w:pStyle w:val="BodyText"/>
        <w:spacing w:before="1"/>
        <w:rPr>
          <w:rFonts w:ascii="Times New Roman"/>
          <w:sz w:val="26"/>
        </w:rPr>
      </w:pPr>
    </w:p>
    <w:tbl>
      <w:tblPr>
        <w:tblW w:w="0" w:type="auto"/>
        <w:jc w:val="left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9"/>
        <w:gridCol w:w="2508"/>
        <w:gridCol w:w="3356"/>
        <w:gridCol w:w="2329"/>
        <w:gridCol w:w="2581"/>
        <w:gridCol w:w="2238"/>
        <w:gridCol w:w="2739"/>
      </w:tblGrid>
      <w:tr>
        <w:trPr>
          <w:trHeight w:val="537" w:hRule="atLeast"/>
        </w:trPr>
        <w:tc>
          <w:tcPr>
            <w:tcW w:w="1529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assurance</w:t>
            </w:r>
          </w:p>
          <w:p>
            <w:pPr>
              <w:pStyle w:val="TableParagraph"/>
              <w:spacing w:line="249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system</w:t>
            </w: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43" w:hRule="atLeast"/>
        </w:trPr>
        <w:tc>
          <w:tcPr>
            <w:tcW w:w="1529" w:type="dxa"/>
            <w:shd w:val="clear" w:color="auto" w:fill="DEEAF6"/>
          </w:tcPr>
          <w:p>
            <w:pPr>
              <w:pStyle w:val="TableParagraph"/>
              <w:ind w:left="107" w:right="209"/>
              <w:rPr>
                <w:b/>
                <w:sz w:val="22"/>
              </w:rPr>
            </w:pPr>
            <w:r>
              <w:rPr>
                <w:b/>
                <w:sz w:val="22"/>
              </w:rPr>
              <w:t>5.2 Quality and </w:t>
            </w:r>
            <w:r>
              <w:rPr>
                <w:b/>
                <w:spacing w:val="-3"/>
                <w:sz w:val="22"/>
              </w:rPr>
              <w:t>strategic </w:t>
            </w:r>
            <w:r>
              <w:rPr>
                <w:b/>
                <w:sz w:val="22"/>
              </w:rPr>
              <w:t>evaluation: Validity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</w:p>
          <w:p>
            <w:pPr>
              <w:pStyle w:val="TableParagraph"/>
              <w:spacing w:line="249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reliability</w:t>
            </w:r>
          </w:p>
        </w:tc>
        <w:tc>
          <w:tcPr>
            <w:tcW w:w="250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56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1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3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10" w:hRule="atLeast"/>
        </w:trPr>
        <w:tc>
          <w:tcPr>
            <w:tcW w:w="1529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5.3</w:t>
            </w:r>
          </w:p>
          <w:p>
            <w:pPr>
              <w:pStyle w:val="TableParagraph"/>
              <w:spacing w:before="1"/>
              <w:ind w:left="107" w:right="84"/>
              <w:rPr>
                <w:b/>
                <w:sz w:val="22"/>
              </w:rPr>
            </w:pPr>
            <w:r>
              <w:rPr>
                <w:b/>
                <w:sz w:val="22"/>
              </w:rPr>
              <w:t>Continuous improvement: Results used to improve</w:t>
            </w:r>
          </w:p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program</w:t>
            </w: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12" w:hRule="atLeast"/>
        </w:trPr>
        <w:tc>
          <w:tcPr>
            <w:tcW w:w="1529" w:type="dxa"/>
            <w:shd w:val="clear" w:color="auto" w:fill="DEEAF6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5.4</w:t>
            </w:r>
          </w:p>
          <w:p>
            <w:pPr>
              <w:pStyle w:val="TableParagraph"/>
              <w:ind w:left="107" w:right="84"/>
              <w:rPr>
                <w:b/>
                <w:sz w:val="22"/>
              </w:rPr>
            </w:pPr>
            <w:r>
              <w:rPr>
                <w:b/>
                <w:sz w:val="22"/>
              </w:rPr>
              <w:t>Continuous improvement: Measures of completer</w:t>
            </w:r>
          </w:p>
          <w:p>
            <w:pPr>
              <w:pStyle w:val="TableParagraph"/>
              <w:spacing w:line="249" w:lineRule="exact"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impact</w:t>
            </w:r>
          </w:p>
        </w:tc>
        <w:tc>
          <w:tcPr>
            <w:tcW w:w="250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56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2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1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38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9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43" w:hRule="atLeast"/>
        </w:trPr>
        <w:tc>
          <w:tcPr>
            <w:tcW w:w="1529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5.5</w:t>
            </w:r>
          </w:p>
          <w:p>
            <w:pPr>
              <w:pStyle w:val="TableParagraph"/>
              <w:ind w:left="107" w:right="84"/>
              <w:rPr>
                <w:b/>
                <w:sz w:val="22"/>
              </w:rPr>
            </w:pPr>
            <w:r>
              <w:rPr>
                <w:b/>
                <w:sz w:val="22"/>
              </w:rPr>
              <w:t>Continuous improvement: Stakeholder</w:t>
            </w:r>
          </w:p>
          <w:p>
            <w:pPr>
              <w:pStyle w:val="TableParagraph"/>
              <w:spacing w:line="250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involvement</w:t>
            </w:r>
          </w:p>
        </w:tc>
        <w:tc>
          <w:tcPr>
            <w:tcW w:w="25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 w:after="1"/>
        <w:rPr>
          <w:rFonts w:ascii="Times New Roman"/>
          <w:sz w:val="24"/>
        </w:rPr>
      </w:pPr>
    </w:p>
    <w:tbl>
      <w:tblPr>
        <w:tblW w:w="0" w:type="auto"/>
        <w:jc w:val="left"/>
        <w:tblInd w:w="112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4"/>
        <w:gridCol w:w="2853"/>
        <w:gridCol w:w="2146"/>
        <w:gridCol w:w="2515"/>
        <w:gridCol w:w="2944"/>
        <w:gridCol w:w="2321"/>
        <w:gridCol w:w="2851"/>
      </w:tblGrid>
      <w:tr>
        <w:trPr>
          <w:trHeight w:val="850" w:hRule="atLeast"/>
        </w:trPr>
        <w:tc>
          <w:tcPr>
            <w:tcW w:w="172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>
            <w:pPr>
              <w:pStyle w:val="TableParagraph"/>
              <w:spacing w:line="293" w:lineRule="exact" w:before="9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CAEP Annual Reporting Measures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color w:val="FFFFFF"/>
                <w:sz w:val="22"/>
              </w:rPr>
              <w:t>Note: Use this table to list annual reporting measures that are NOT presented as data for any of the other CAEP Standard Components listed above. For annual reporting measures listed in</w:t>
            </w:r>
          </w:p>
          <w:p>
            <w:pPr>
              <w:pStyle w:val="TableParagraph"/>
              <w:spacing w:line="259" w:lineRule="exact"/>
              <w:ind w:left="112"/>
              <w:rPr>
                <w:sz w:val="22"/>
              </w:rPr>
            </w:pPr>
            <w:r>
              <w:rPr>
                <w:color w:val="FFFFFF"/>
                <w:sz w:val="22"/>
              </w:rPr>
              <w:t>the tables above make sure to note in the Use of Data column “CAEP Annual Reporting Measure.”</w:t>
            </w:r>
          </w:p>
        </w:tc>
      </w:tr>
      <w:tr>
        <w:trPr>
          <w:trHeight w:val="806" w:hRule="atLeast"/>
        </w:trPr>
        <w:tc>
          <w:tcPr>
            <w:tcW w:w="1644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CAEP </w:t>
            </w:r>
            <w:r>
              <w:rPr>
                <w:b/>
                <w:spacing w:val="-5"/>
                <w:sz w:val="22"/>
              </w:rPr>
              <w:t>Annual </w:t>
            </w:r>
            <w:r>
              <w:rPr>
                <w:b/>
                <w:sz w:val="22"/>
              </w:rPr>
              <w:t>Reporting</w:t>
            </w:r>
          </w:p>
          <w:p>
            <w:pPr>
              <w:pStyle w:val="TableParagraph"/>
              <w:spacing w:line="250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Measures</w:t>
            </w:r>
          </w:p>
        </w:tc>
        <w:tc>
          <w:tcPr>
            <w:tcW w:w="2853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68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Evidence &amp; Implementation</w:t>
            </w:r>
          </w:p>
        </w:tc>
        <w:tc>
          <w:tcPr>
            <w:tcW w:w="2146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108" w:right="554"/>
              <w:rPr>
                <w:b/>
                <w:sz w:val="22"/>
              </w:rPr>
            </w:pPr>
            <w:r>
              <w:rPr>
                <w:b/>
                <w:sz w:val="22"/>
              </w:rPr>
              <w:t>Arrangement of Data</w:t>
            </w:r>
          </w:p>
        </w:tc>
        <w:tc>
          <w:tcPr>
            <w:tcW w:w="2515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68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Administration Schedule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68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Formal Data Review Schedule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Use of Data</w:t>
            </w:r>
          </w:p>
        </w:tc>
        <w:tc>
          <w:tcPr>
            <w:tcW w:w="2851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110" w:right="640"/>
              <w:rPr>
                <w:b/>
                <w:sz w:val="22"/>
              </w:rPr>
            </w:pPr>
            <w:r>
              <w:rPr>
                <w:b/>
                <w:sz w:val="22"/>
              </w:rPr>
              <w:t>Review of Instrument/ Documentation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1470" w:top="1140" w:bottom="1660" w:left="1340" w:right="1320"/>
        </w:sectPr>
      </w:pPr>
    </w:p>
    <w:p>
      <w:pPr>
        <w:pStyle w:val="BodyText"/>
        <w:spacing w:before="1"/>
        <w:rPr>
          <w:rFonts w:ascii="Times New Roman"/>
          <w:sz w:val="26"/>
        </w:rPr>
      </w:pPr>
    </w:p>
    <w:tbl>
      <w:tblPr>
        <w:tblW w:w="0" w:type="auto"/>
        <w:jc w:val="left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4"/>
        <w:gridCol w:w="2853"/>
        <w:gridCol w:w="2146"/>
        <w:gridCol w:w="2515"/>
        <w:gridCol w:w="2944"/>
        <w:gridCol w:w="2321"/>
        <w:gridCol w:w="2851"/>
      </w:tblGrid>
      <w:tr>
        <w:trPr>
          <w:trHeight w:val="6447" w:hRule="atLeast"/>
        </w:trPr>
        <w:tc>
          <w:tcPr>
            <w:tcW w:w="1644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Example</w:t>
            </w: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CAEP 5.3,</w:t>
            </w:r>
          </w:p>
          <w:p>
            <w:pPr>
              <w:pStyle w:val="TableParagraph"/>
              <w:ind w:left="107" w:right="468"/>
              <w:rPr>
                <w:b/>
                <w:sz w:val="22"/>
              </w:rPr>
            </w:pPr>
            <w:r>
              <w:rPr>
                <w:b/>
                <w:sz w:val="22"/>
              </w:rPr>
              <w:t>Graduation Rates</w:t>
            </w:r>
          </w:p>
        </w:tc>
        <w:tc>
          <w:tcPr>
            <w:tcW w:w="2853" w:type="dxa"/>
          </w:tcPr>
          <w:p>
            <w:pPr>
              <w:pStyle w:val="TableParagraph"/>
              <w:spacing w:line="268" w:lineRule="exact"/>
              <w:ind w:left="108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Example</w:t>
            </w: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Graduation Rates</w:t>
            </w:r>
          </w:p>
        </w:tc>
        <w:tc>
          <w:tcPr>
            <w:tcW w:w="2146" w:type="dxa"/>
          </w:tcPr>
          <w:p>
            <w:pPr>
              <w:pStyle w:val="TableParagraph"/>
              <w:spacing w:line="268" w:lineRule="exact"/>
              <w:ind w:left="108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Example</w:t>
            </w:r>
          </w:p>
          <w:p>
            <w:pPr>
              <w:pStyle w:val="TableParagraph"/>
              <w:ind w:left="108" w:right="116"/>
              <w:rPr>
                <w:sz w:val="22"/>
              </w:rPr>
            </w:pPr>
            <w:r>
              <w:rPr>
                <w:sz w:val="22"/>
              </w:rPr>
              <w:t>A summary by academic year of graduates (program completers), number of candidates not recommended for an initial teacher certificate but continued in a program, number of candidates not recommended for an initial teacher certificate and counseled out of a program, and number of candidates not recommended for an initial teacher certificate and withdrew from a</w:t>
            </w:r>
          </w:p>
          <w:p>
            <w:pPr>
              <w:pStyle w:val="TableParagraph"/>
              <w:spacing w:line="249" w:lineRule="exact" w:before="2"/>
              <w:ind w:left="108"/>
              <w:rPr>
                <w:sz w:val="22"/>
              </w:rPr>
            </w:pPr>
            <w:r>
              <w:rPr>
                <w:sz w:val="22"/>
              </w:rPr>
              <w:t>program</w:t>
            </w:r>
          </w:p>
        </w:tc>
        <w:tc>
          <w:tcPr>
            <w:tcW w:w="2515" w:type="dxa"/>
          </w:tcPr>
          <w:p>
            <w:pPr>
              <w:pStyle w:val="TableParagraph"/>
              <w:spacing w:line="268" w:lineRule="exact"/>
              <w:ind w:left="108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Example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8" w:val="left" w:leader="none"/>
                <w:tab w:pos="469" w:val="left" w:leader="none"/>
              </w:tabs>
              <w:spacing w:line="240" w:lineRule="auto" w:before="0" w:after="0"/>
              <w:ind w:left="469" w:right="104" w:hanging="360"/>
              <w:jc w:val="left"/>
              <w:rPr>
                <w:sz w:val="22"/>
              </w:rPr>
            </w:pPr>
            <w:r>
              <w:rPr>
                <w:sz w:val="22"/>
              </w:rPr>
              <w:t>Conclusion of each semester by the Student Teaching Office staff who oversee student teaching and the issuing of final </w:t>
            </w:r>
            <w:r>
              <w:rPr>
                <w:spacing w:val="-3"/>
                <w:sz w:val="22"/>
              </w:rPr>
              <w:t>grades </w:t>
            </w:r>
            <w:r>
              <w:rPr>
                <w:sz w:val="22"/>
              </w:rPr>
              <w:t>and state approval documentation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8" w:val="left" w:leader="none"/>
                <w:tab w:pos="469" w:val="left" w:leader="none"/>
              </w:tabs>
              <w:spacing w:line="240" w:lineRule="auto" w:before="0" w:after="0"/>
              <w:ind w:left="469" w:right="225" w:hanging="360"/>
              <w:jc w:val="left"/>
              <w:rPr>
                <w:sz w:val="22"/>
              </w:rPr>
            </w:pPr>
            <w:r>
              <w:rPr>
                <w:sz w:val="22"/>
              </w:rPr>
              <w:t>The data are reported on the EPP Program Evaluation web page and updated in June of each year for the previous academic year.</w:t>
            </w:r>
          </w:p>
        </w:tc>
        <w:tc>
          <w:tcPr>
            <w:tcW w:w="2944" w:type="dxa"/>
          </w:tcPr>
          <w:p>
            <w:pPr>
              <w:pStyle w:val="TableParagraph"/>
              <w:spacing w:line="268" w:lineRule="exact"/>
              <w:ind w:left="109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Example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9" w:val="left" w:leader="none"/>
                <w:tab w:pos="470" w:val="left" w:leader="none"/>
              </w:tabs>
              <w:spacing w:line="240" w:lineRule="auto" w:before="0" w:after="0"/>
              <w:ind w:left="469" w:right="195" w:hanging="360"/>
              <w:jc w:val="left"/>
              <w:rPr>
                <w:sz w:val="22"/>
              </w:rPr>
            </w:pPr>
            <w:r>
              <w:rPr>
                <w:sz w:val="22"/>
              </w:rPr>
              <w:t>EPP Initial Teacher Preparation Coordinating Council at the start of each academic year to consider trends in terms of alerts issued, failures,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withdrawals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9" w:val="left" w:leader="none"/>
                <w:tab w:pos="470" w:val="left" w:leader="none"/>
              </w:tabs>
              <w:spacing w:line="240" w:lineRule="auto" w:before="0" w:after="0"/>
              <w:ind w:left="469" w:right="121" w:hanging="360"/>
              <w:jc w:val="left"/>
              <w:rPr>
                <w:sz w:val="22"/>
              </w:rPr>
            </w:pPr>
            <w:r>
              <w:rPr>
                <w:sz w:val="22"/>
              </w:rPr>
              <w:t>Fall, odd years data presented to all EPP </w:t>
            </w:r>
            <w:r>
              <w:rPr>
                <w:spacing w:val="-3"/>
                <w:sz w:val="22"/>
              </w:rPr>
              <w:t>initial </w:t>
            </w:r>
            <w:r>
              <w:rPr>
                <w:sz w:val="22"/>
              </w:rPr>
              <w:t>teacher preparation program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faculty</w:t>
            </w:r>
          </w:p>
        </w:tc>
        <w:tc>
          <w:tcPr>
            <w:tcW w:w="2321" w:type="dxa"/>
          </w:tcPr>
          <w:p>
            <w:pPr>
              <w:pStyle w:val="TableParagraph"/>
              <w:spacing w:line="268" w:lineRule="exact"/>
              <w:ind w:left="11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Example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0" w:val="left" w:leader="none"/>
                <w:tab w:pos="471" w:val="left" w:leader="none"/>
              </w:tabs>
              <w:spacing w:line="240" w:lineRule="auto" w:before="0" w:after="0"/>
              <w:ind w:left="470" w:right="116" w:hanging="360"/>
              <w:jc w:val="left"/>
              <w:rPr>
                <w:sz w:val="22"/>
              </w:rPr>
            </w:pPr>
            <w:r>
              <w:rPr>
                <w:sz w:val="22"/>
              </w:rPr>
              <w:t>CAEP Annual Reporting </w:t>
            </w:r>
            <w:r>
              <w:rPr>
                <w:spacing w:val="-4"/>
                <w:sz w:val="22"/>
              </w:rPr>
              <w:t>Measure </w:t>
            </w:r>
            <w:r>
              <w:rPr>
                <w:sz w:val="22"/>
              </w:rPr>
              <w:t>(EPP Program Evaluation web page)</w:t>
            </w:r>
          </w:p>
        </w:tc>
        <w:tc>
          <w:tcPr>
            <w:tcW w:w="2851" w:type="dxa"/>
          </w:tcPr>
          <w:p>
            <w:pPr>
              <w:pStyle w:val="TableParagraph"/>
              <w:spacing w:line="268" w:lineRule="exact"/>
              <w:ind w:left="11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Example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40" w:lineRule="auto" w:before="0" w:after="0"/>
              <w:ind w:left="470" w:right="333" w:hanging="360"/>
              <w:jc w:val="both"/>
              <w:rPr>
                <w:sz w:val="22"/>
              </w:rPr>
            </w:pPr>
            <w:r>
              <w:rPr>
                <w:sz w:val="22"/>
              </w:rPr>
              <w:t>Annually in September for previous academic year</w:t>
            </w:r>
          </w:p>
        </w:tc>
      </w:tr>
    </w:tbl>
    <w:sectPr>
      <w:pgSz w:w="20160" w:h="12240" w:orient="landscape"/>
      <w:pgMar w:header="0" w:footer="1470" w:top="1140" w:bottom="166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pt;margin-top:523.495972pt;width:788.15pt;height:39.950pt;mso-position-horizontal-relative:page;mso-position-vertical-relative:page;z-index:-2353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40"/>
                </w:pPr>
                <w:r>
                  <w:rPr/>
                  <w:t>CAEP EPP Master Assessment Plan &amp; Calendar Template developed by Dr. Cynthia Conn, Northern Arizona University Professional Education Programs; Last updated 9/26/2016</w:t>
                </w:r>
              </w:p>
              <w:p>
                <w:pPr>
                  <w:pStyle w:val="BodyText"/>
                  <w:ind w:left="40" w:right="10582"/>
                </w:pPr>
                <w:r>
                  <w:rPr/>
                  <w:t>https://nau.edu/Provost/PEP/Quality-Assurance-System/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</w:r>
                <w:r>
                  <w:rPr/>
                  <w:fldChar w:fldCharType="end"/>
                </w:r>
                <w:r>
                  <w:rPr/>
                  <w:t> 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"/>
      <w:lvlJc w:val="left"/>
      <w:pPr>
        <w:ind w:left="470" w:hanging="360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716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952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88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en-us"/>
      </w:rPr>
    </w:lvl>
  </w:abstractNum>
  <w:abstractNum w:abstractNumId="9">
    <w:multiLevelType w:val="hybridMultilevel"/>
    <w:lvl w:ilvl="0">
      <w:start w:val="0"/>
      <w:numFmt w:val="bullet"/>
      <w:lvlText w:val=""/>
      <w:lvlJc w:val="left"/>
      <w:pPr>
        <w:ind w:left="470" w:hanging="360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663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46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029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212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395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578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761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en-us"/>
      </w:rPr>
    </w:lvl>
  </w:abstractNum>
  <w:abstractNum w:abstractNumId="8">
    <w:multiLevelType w:val="hybridMultilevel"/>
    <w:lvl w:ilvl="0">
      <w:start w:val="0"/>
      <w:numFmt w:val="bullet"/>
      <w:lvlText w:val=""/>
      <w:lvlJc w:val="left"/>
      <w:pPr>
        <w:ind w:left="469" w:hanging="360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707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954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449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439" w:hanging="360"/>
      </w:pPr>
      <w:rPr>
        <w:rFonts w:hint="default"/>
        <w:lang w:val="en-us" w:eastAsia="en-us" w:bidi="en-us"/>
      </w:rPr>
    </w:lvl>
  </w:abstractNum>
  <w:abstractNum w:abstractNumId="7">
    <w:multiLevelType w:val="hybridMultilevel"/>
    <w:lvl w:ilvl="0">
      <w:start w:val="0"/>
      <w:numFmt w:val="bullet"/>
      <w:lvlText w:val=""/>
      <w:lvlJc w:val="left"/>
      <w:pPr>
        <w:ind w:left="469" w:hanging="360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664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69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073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687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096" w:hanging="360"/>
      </w:pPr>
      <w:rPr>
        <w:rFonts w:hint="default"/>
        <w:lang w:val="en-us" w:eastAsia="en-us" w:bidi="en-us"/>
      </w:rPr>
    </w:lvl>
  </w:abstractNum>
  <w:abstractNum w:abstractNumId="6">
    <w:multiLevelType w:val="hybridMultilevel"/>
    <w:lvl w:ilvl="0">
      <w:start w:val="0"/>
      <w:numFmt w:val="bullet"/>
      <w:lvlText w:val=""/>
      <w:lvlJc w:val="left"/>
      <w:pPr>
        <w:ind w:left="465" w:hanging="360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727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994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063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331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598" w:hanging="360"/>
      </w:pPr>
      <w:rPr>
        <w:rFonts w:hint="default"/>
        <w:lang w:val="en-us" w:eastAsia="en-us" w:bidi="en-us"/>
      </w:rPr>
    </w:lvl>
  </w:abstractNum>
  <w:abstractNum w:abstractNumId="5">
    <w:multiLevelType w:val="hybridMultilevel"/>
    <w:lvl w:ilvl="0">
      <w:start w:val="0"/>
      <w:numFmt w:val="bullet"/>
      <w:lvlText w:val=""/>
      <w:lvlJc w:val="left"/>
      <w:pPr>
        <w:ind w:left="465" w:hanging="360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719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978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en-us"/>
      </w:rPr>
    </w:lvl>
  </w:abstractNum>
  <w:abstractNum w:abstractNumId="4">
    <w:multiLevelType w:val="hybridMultilevel"/>
    <w:lvl w:ilvl="0">
      <w:start w:val="0"/>
      <w:numFmt w:val="bullet"/>
      <w:lvlText w:val=""/>
      <w:lvlJc w:val="left"/>
      <w:pPr>
        <w:ind w:left="464" w:hanging="360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70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en-us"/>
      </w:rPr>
    </w:lvl>
  </w:abstractNum>
  <w:abstractNum w:abstractNumId="3">
    <w:multiLevelType w:val="hybridMultilevel"/>
    <w:lvl w:ilvl="0">
      <w:start w:val="0"/>
      <w:numFmt w:val="bullet"/>
      <w:lvlText w:val=""/>
      <w:lvlJc w:val="left"/>
      <w:pPr>
        <w:ind w:left="465" w:hanging="361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629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798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967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305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474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643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812" w:hanging="361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465" w:hanging="360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727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994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063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331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598" w:hanging="360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465" w:hanging="360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719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978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464" w:hanging="360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70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en-us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caepnet.org/standards/introduction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Conn</dc:creator>
  <dcterms:created xsi:type="dcterms:W3CDTF">2019-11-01T16:48:09Z</dcterms:created>
  <dcterms:modified xsi:type="dcterms:W3CDTF">2019-11-01T16:48:09Z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2019-11-01T00:00:00Z</vt:filetime>
  </property>
</Properties>
</file>