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6EEC6" w14:textId="77777777" w:rsidR="00880A04" w:rsidRDefault="00880A04" w:rsidP="00880A04">
      <w:pPr>
        <w:rPr>
          <w:b/>
        </w:rPr>
      </w:pPr>
    </w:p>
    <w:p w14:paraId="583BDECE" w14:textId="77777777" w:rsidR="00AA5E1D" w:rsidRPr="00880A04" w:rsidRDefault="00AA5E1D" w:rsidP="00880A04">
      <w:pPr>
        <w:rPr>
          <w:b/>
          <w:sz w:val="28"/>
          <w:szCs w:val="28"/>
        </w:rPr>
      </w:pPr>
      <w:r w:rsidRPr="00880A04">
        <w:rPr>
          <w:b/>
          <w:sz w:val="28"/>
          <w:szCs w:val="28"/>
        </w:rPr>
        <w:t>Validity Argument</w:t>
      </w:r>
    </w:p>
    <w:p w14:paraId="0BDF6BDE" w14:textId="23725DFE" w:rsidR="00AA5E1D" w:rsidRPr="00290B9E" w:rsidRDefault="00880A04" w:rsidP="00AA5E1D">
      <w:pPr>
        <w:spacing w:after="0" w:line="240" w:lineRule="auto"/>
        <w:rPr>
          <w:b/>
        </w:rPr>
      </w:pPr>
      <w:r>
        <w:rPr>
          <w:b/>
        </w:rPr>
        <w:t>Course Prefix, Number &amp; Name of Performance Assessment</w:t>
      </w:r>
      <w:r w:rsidR="00AA5E1D" w:rsidRPr="00290B9E">
        <w:rPr>
          <w:b/>
        </w:rPr>
        <w:t xml:space="preserve">: </w:t>
      </w:r>
    </w:p>
    <w:p w14:paraId="65976876" w14:textId="77777777" w:rsidR="00AA5E1D" w:rsidRPr="00290B9E" w:rsidRDefault="000A147F" w:rsidP="00AA5E1D">
      <w:pPr>
        <w:spacing w:after="0" w:line="240" w:lineRule="auto"/>
      </w:pPr>
      <w:r>
        <w:rPr>
          <w:b/>
        </w:rPr>
        <w:t>Reviewers</w:t>
      </w:r>
      <w:r w:rsidR="00AA5E1D" w:rsidRPr="00290B9E">
        <w:rPr>
          <w:b/>
        </w:rPr>
        <w:t xml:space="preserve">:  </w:t>
      </w:r>
    </w:p>
    <w:p w14:paraId="7C8F60AA" w14:textId="77777777" w:rsidR="00AA5E1D" w:rsidRPr="00290B9E" w:rsidRDefault="00AA5E1D" w:rsidP="00AA5E1D">
      <w:pPr>
        <w:spacing w:after="0" w:line="240" w:lineRule="auto"/>
      </w:pPr>
      <w:r w:rsidRPr="00290B9E">
        <w:rPr>
          <w:b/>
        </w:rPr>
        <w:t xml:space="preserve">Date:  </w:t>
      </w:r>
    </w:p>
    <w:p w14:paraId="237C45E2" w14:textId="77777777" w:rsidR="00AA5E1D" w:rsidRDefault="00AA5E1D" w:rsidP="00AA5E1D">
      <w:pPr>
        <w:spacing w:after="0" w:line="240" w:lineRule="auto"/>
      </w:pPr>
    </w:p>
    <w:p w14:paraId="7191A6C5" w14:textId="7D6304D5" w:rsidR="00A306DB" w:rsidRPr="00290B9E" w:rsidRDefault="00290B9E" w:rsidP="00AA5E1D">
      <w:pPr>
        <w:spacing w:after="0" w:line="240" w:lineRule="auto"/>
      </w:pPr>
      <w:r w:rsidRPr="00290B9E">
        <w:rPr>
          <w:b/>
        </w:rPr>
        <w:t>Instructions:</w:t>
      </w:r>
      <w:r w:rsidRPr="00290B9E">
        <w:t xml:space="preserve"> </w:t>
      </w:r>
      <w:r w:rsidR="00A306DB" w:rsidRPr="00290B9E">
        <w:t>Based on the results of Validity Inquiry Process</w:t>
      </w:r>
      <w:r w:rsidR="00E06A97">
        <w:t xml:space="preserve"> and evaluation of data collected</w:t>
      </w:r>
      <w:r w:rsidR="00A306DB" w:rsidRPr="00290B9E">
        <w:t xml:space="preserve">, develop a </w:t>
      </w:r>
      <w:r w:rsidRPr="00290B9E">
        <w:t>comprehensive Validity Argument</w:t>
      </w:r>
      <w:r w:rsidR="00E06A97">
        <w:t xml:space="preserve">.  The Validity Argument should </w:t>
      </w:r>
      <w:r w:rsidRPr="00290B9E">
        <w:t xml:space="preserve">address </w:t>
      </w:r>
      <w:r w:rsidR="00B042B7">
        <w:t xml:space="preserve">1) </w:t>
      </w:r>
      <w:r w:rsidR="00E06A97">
        <w:t>the instrument’s purpose and</w:t>
      </w:r>
      <w:r w:rsidR="006E185F">
        <w:t xml:space="preserve"> </w:t>
      </w:r>
      <w:r w:rsidR="00E06A97">
        <w:t xml:space="preserve">intended </w:t>
      </w:r>
      <w:r w:rsidRPr="00290B9E">
        <w:t>interpretation and use</w:t>
      </w:r>
      <w:r w:rsidR="00E06A97">
        <w:t xml:space="preserve"> of data</w:t>
      </w:r>
      <w:r w:rsidRPr="00290B9E">
        <w:t xml:space="preserve">, </w:t>
      </w:r>
      <w:r w:rsidR="00B042B7">
        <w:t xml:space="preserve">2) </w:t>
      </w:r>
      <w:r w:rsidRPr="00290B9E">
        <w:t xml:space="preserve">quality of instrument and scoring guide, and </w:t>
      </w:r>
      <w:r w:rsidR="00B042B7">
        <w:t xml:space="preserve">3) </w:t>
      </w:r>
      <w:r w:rsidRPr="00290B9E">
        <w:t>reliability of data collected.</w:t>
      </w:r>
      <w:r w:rsidR="00003EE4">
        <w:t xml:space="preserve"> For the Quality and Reliability sections, include references to evidence </w:t>
      </w:r>
      <w:r w:rsidR="00B042B7">
        <w:t>and findings</w:t>
      </w:r>
      <w:r w:rsidR="00003EE4">
        <w:t xml:space="preserve"> gathered through the review process.</w:t>
      </w:r>
    </w:p>
    <w:p w14:paraId="7BB7D231" w14:textId="77777777" w:rsidR="00290B9E" w:rsidRPr="00290B9E" w:rsidRDefault="00290B9E" w:rsidP="00AA5E1D">
      <w:pPr>
        <w:spacing w:after="0" w:line="240" w:lineRule="auto"/>
      </w:pPr>
    </w:p>
    <w:p w14:paraId="5607A11A" w14:textId="41D10005" w:rsidR="00A306DB" w:rsidRPr="00290B9E" w:rsidRDefault="00B042B7" w:rsidP="00AA5E1D">
      <w:pPr>
        <w:spacing w:after="0" w:line="240" w:lineRule="auto"/>
        <w:rPr>
          <w:b/>
        </w:rPr>
      </w:pPr>
      <w:r>
        <w:rPr>
          <w:b/>
        </w:rPr>
        <w:t xml:space="preserve">1) </w:t>
      </w:r>
      <w:r w:rsidR="00E06A97">
        <w:rPr>
          <w:b/>
        </w:rPr>
        <w:t xml:space="preserve">Instrument’s </w:t>
      </w:r>
      <w:r w:rsidR="006E185F">
        <w:rPr>
          <w:b/>
        </w:rPr>
        <w:t>P</w:t>
      </w:r>
      <w:r w:rsidR="00E06A97">
        <w:rPr>
          <w:b/>
        </w:rPr>
        <w:t>urpose and Intended</w:t>
      </w:r>
      <w:r w:rsidR="006E185F">
        <w:rPr>
          <w:b/>
        </w:rPr>
        <w:t xml:space="preserve"> </w:t>
      </w:r>
      <w:r w:rsidR="00A306DB" w:rsidRPr="00290B9E">
        <w:rPr>
          <w:b/>
        </w:rPr>
        <w:t xml:space="preserve">Interpretation and Use </w:t>
      </w:r>
      <w:r w:rsidR="00E06A97">
        <w:rPr>
          <w:b/>
        </w:rPr>
        <w:t>of Data</w:t>
      </w:r>
      <w:r w:rsidR="00290B9E">
        <w:rPr>
          <w:b/>
        </w:rPr>
        <w:t>:</w:t>
      </w:r>
    </w:p>
    <w:p w14:paraId="7DBC53A9" w14:textId="77777777" w:rsidR="00290B9E" w:rsidRDefault="00290B9E" w:rsidP="00290B9E">
      <w:pPr>
        <w:pStyle w:val="ListParagraph"/>
        <w:numPr>
          <w:ilvl w:val="0"/>
          <w:numId w:val="3"/>
        </w:numPr>
        <w:spacing w:after="0" w:line="240" w:lineRule="auto"/>
      </w:pPr>
      <w:r>
        <w:t xml:space="preserve"> </w:t>
      </w:r>
      <w:r w:rsidR="00A306DB" w:rsidRPr="00290B9E">
        <w:t>Articulate the purpose of the performance assessment in terms of w</w:t>
      </w:r>
      <w:r>
        <w:t>hat it is intended to measure.</w:t>
      </w:r>
    </w:p>
    <w:p w14:paraId="3CE265D8" w14:textId="77777777" w:rsidR="00A306DB" w:rsidRDefault="00A306DB" w:rsidP="00290B9E">
      <w:pPr>
        <w:pStyle w:val="ListParagraph"/>
        <w:numPr>
          <w:ilvl w:val="0"/>
          <w:numId w:val="3"/>
        </w:numPr>
        <w:spacing w:after="0" w:line="240" w:lineRule="auto"/>
      </w:pPr>
      <w:r w:rsidRPr="00290B9E">
        <w:t xml:space="preserve">Describe how the </w:t>
      </w:r>
      <w:r w:rsidR="00290B9E">
        <w:t>results will be used (e.g., provide formative feedback, decisions regarding continuation in program, and/or program evaluation).</w:t>
      </w:r>
    </w:p>
    <w:p w14:paraId="5469D53A" w14:textId="77777777" w:rsidR="00290B9E" w:rsidRDefault="00290B9E" w:rsidP="00290B9E">
      <w:pPr>
        <w:pStyle w:val="ListParagraph"/>
        <w:numPr>
          <w:ilvl w:val="0"/>
          <w:numId w:val="3"/>
        </w:numPr>
        <w:spacing w:after="0" w:line="240" w:lineRule="auto"/>
      </w:pPr>
      <w:r>
        <w:t>Note how the data collected through this performance assessment connects (i.e., triangulates) with data collected through other assessment instruments currently in use.</w:t>
      </w:r>
    </w:p>
    <w:p w14:paraId="7B25F007" w14:textId="77777777" w:rsidR="00290B9E" w:rsidRDefault="00290B9E" w:rsidP="00290B9E">
      <w:pPr>
        <w:spacing w:after="0" w:line="240" w:lineRule="auto"/>
      </w:pPr>
    </w:p>
    <w:p w14:paraId="79763433" w14:textId="77777777" w:rsidR="00290B9E" w:rsidRDefault="00290B9E" w:rsidP="00290B9E">
      <w:pPr>
        <w:spacing w:after="0" w:line="240" w:lineRule="auto"/>
      </w:pPr>
    </w:p>
    <w:p w14:paraId="46BD8BE0" w14:textId="77777777" w:rsidR="00290B9E" w:rsidRDefault="00290B9E" w:rsidP="00290B9E">
      <w:pPr>
        <w:spacing w:after="0" w:line="240" w:lineRule="auto"/>
      </w:pPr>
    </w:p>
    <w:p w14:paraId="70ABFA3F" w14:textId="77777777" w:rsidR="00290B9E" w:rsidRDefault="00290B9E" w:rsidP="00290B9E">
      <w:pPr>
        <w:spacing w:after="0" w:line="240" w:lineRule="auto"/>
      </w:pPr>
    </w:p>
    <w:p w14:paraId="10AC35FB" w14:textId="77777777" w:rsidR="00290B9E" w:rsidRDefault="00290B9E" w:rsidP="00290B9E">
      <w:pPr>
        <w:spacing w:after="0" w:line="240" w:lineRule="auto"/>
      </w:pPr>
    </w:p>
    <w:p w14:paraId="399F91A9" w14:textId="77777777" w:rsidR="00290B9E" w:rsidRDefault="00290B9E" w:rsidP="00290B9E">
      <w:pPr>
        <w:spacing w:after="0" w:line="240" w:lineRule="auto"/>
      </w:pPr>
    </w:p>
    <w:p w14:paraId="39A3D211" w14:textId="77777777" w:rsidR="00290B9E" w:rsidRDefault="00290B9E" w:rsidP="00290B9E">
      <w:pPr>
        <w:spacing w:after="0" w:line="240" w:lineRule="auto"/>
      </w:pPr>
    </w:p>
    <w:p w14:paraId="5CBEAF90" w14:textId="77777777" w:rsidR="00290B9E" w:rsidRDefault="00290B9E" w:rsidP="00290B9E">
      <w:pPr>
        <w:spacing w:after="0" w:line="240" w:lineRule="auto"/>
      </w:pPr>
    </w:p>
    <w:p w14:paraId="1A621BE7" w14:textId="77777777" w:rsidR="00290B9E" w:rsidRDefault="00290B9E" w:rsidP="00290B9E">
      <w:pPr>
        <w:spacing w:after="0" w:line="240" w:lineRule="auto"/>
      </w:pPr>
    </w:p>
    <w:p w14:paraId="40D538AC" w14:textId="77777777" w:rsidR="00290B9E" w:rsidRDefault="00290B9E" w:rsidP="00290B9E">
      <w:pPr>
        <w:spacing w:after="0" w:line="240" w:lineRule="auto"/>
      </w:pPr>
    </w:p>
    <w:p w14:paraId="4EEBEA76" w14:textId="77777777" w:rsidR="00003EE4" w:rsidRPr="00290B9E" w:rsidRDefault="00B042B7" w:rsidP="00290B9E">
      <w:pPr>
        <w:spacing w:after="0" w:line="240" w:lineRule="auto"/>
        <w:rPr>
          <w:b/>
        </w:rPr>
      </w:pPr>
      <w:r>
        <w:rPr>
          <w:b/>
        </w:rPr>
        <w:t xml:space="preserve">2) </w:t>
      </w:r>
      <w:r w:rsidR="00290B9E" w:rsidRPr="00290B9E">
        <w:rPr>
          <w:b/>
        </w:rPr>
        <w:t>Quality</w:t>
      </w:r>
      <w:r w:rsidR="00290B9E">
        <w:rPr>
          <w:b/>
        </w:rPr>
        <w:t xml:space="preserve"> of Instrument and Scoring Guide</w:t>
      </w:r>
      <w:r w:rsidR="00290B9E" w:rsidRPr="00290B9E">
        <w:rPr>
          <w:b/>
        </w:rPr>
        <w:t>:</w:t>
      </w:r>
    </w:p>
    <w:p w14:paraId="4B8E91C0" w14:textId="77777777" w:rsidR="00003EE4" w:rsidRDefault="00003EE4" w:rsidP="00003EE4">
      <w:pPr>
        <w:pStyle w:val="ListParagraph"/>
        <w:numPr>
          <w:ilvl w:val="0"/>
          <w:numId w:val="4"/>
        </w:numPr>
      </w:pPr>
      <w:r w:rsidRPr="000A147F">
        <w:rPr>
          <w:b/>
        </w:rPr>
        <w:t>Domain Coverage</w:t>
      </w:r>
      <w:r w:rsidR="00AB182B" w:rsidRPr="000A147F">
        <w:rPr>
          <w:b/>
        </w:rPr>
        <w:t xml:space="preserve"> (Content Analysis B1)</w:t>
      </w:r>
      <w:r w:rsidRPr="000A147F">
        <w:rPr>
          <w:b/>
        </w:rPr>
        <w:t xml:space="preserve">: </w:t>
      </w:r>
      <w:r w:rsidR="00AB182B">
        <w:t xml:space="preserve">Describe the content experts or professional organization who developed the learning outcomes or standards that the performance assessment </w:t>
      </w:r>
      <w:r w:rsidR="000A147F">
        <w:t>and/or the program or unit assessment plan addresses</w:t>
      </w:r>
      <w:r w:rsidR="00AB182B">
        <w:t xml:space="preserve">. </w:t>
      </w:r>
    </w:p>
    <w:p w14:paraId="377A4745" w14:textId="77777777" w:rsidR="00003EE4" w:rsidRDefault="00003EE4" w:rsidP="00003EE4">
      <w:pPr>
        <w:pStyle w:val="ListParagraph"/>
        <w:ind w:left="360"/>
      </w:pPr>
    </w:p>
    <w:p w14:paraId="690CF7B5" w14:textId="77777777" w:rsidR="004407E7" w:rsidRPr="00003EE4" w:rsidRDefault="004407E7" w:rsidP="00003EE4">
      <w:pPr>
        <w:pStyle w:val="ListParagraph"/>
        <w:ind w:left="360"/>
      </w:pPr>
    </w:p>
    <w:p w14:paraId="3187CC32" w14:textId="77777777" w:rsidR="004407E7" w:rsidRPr="00290B9E" w:rsidRDefault="000A147F" w:rsidP="004407E7">
      <w:pPr>
        <w:pStyle w:val="ListParagraph"/>
        <w:numPr>
          <w:ilvl w:val="0"/>
          <w:numId w:val="4"/>
        </w:numPr>
      </w:pPr>
      <w:r w:rsidRPr="000A147F">
        <w:rPr>
          <w:b/>
        </w:rPr>
        <w:t xml:space="preserve">Generalizability (Content Analysis B4): </w:t>
      </w:r>
      <w:r w:rsidR="004407E7">
        <w:t xml:space="preserve">Discuss the performance assessments that make up the program or unit assessment plan in terms of how comprehensive they are in addressing the domain of knowledge (e.g., richness of the problems, projects, or scenarios incorporated into this performance assessments). </w:t>
      </w:r>
    </w:p>
    <w:p w14:paraId="41B17427" w14:textId="77777777" w:rsidR="000A147F" w:rsidRPr="000A147F" w:rsidRDefault="000A147F" w:rsidP="004407E7">
      <w:pPr>
        <w:pStyle w:val="ListParagraph"/>
        <w:ind w:left="360"/>
        <w:rPr>
          <w:b/>
        </w:rPr>
      </w:pPr>
    </w:p>
    <w:p w14:paraId="4FC1DBC7" w14:textId="77777777" w:rsidR="000A147F" w:rsidRPr="000A147F" w:rsidRDefault="000A147F" w:rsidP="004407E7">
      <w:pPr>
        <w:pStyle w:val="ListParagraph"/>
        <w:ind w:left="360"/>
      </w:pPr>
    </w:p>
    <w:p w14:paraId="2A4F9BD2" w14:textId="7460A9AC" w:rsidR="004407E7" w:rsidRDefault="004407E7" w:rsidP="00880A04">
      <w:pPr>
        <w:pStyle w:val="ListParagraph"/>
        <w:numPr>
          <w:ilvl w:val="0"/>
          <w:numId w:val="1"/>
        </w:numPr>
      </w:pPr>
      <w:r w:rsidRPr="00290B9E">
        <w:rPr>
          <w:b/>
        </w:rPr>
        <w:lastRenderedPageBreak/>
        <w:t>Content Quality</w:t>
      </w:r>
      <w:r>
        <w:rPr>
          <w:b/>
        </w:rPr>
        <w:t xml:space="preserve"> (Content Analysis B2)</w:t>
      </w:r>
      <w:r w:rsidRPr="00290B9E">
        <w:rPr>
          <w:b/>
        </w:rPr>
        <w:t>:</w:t>
      </w:r>
      <w:r w:rsidRPr="00290B9E">
        <w:t xml:space="preserve"> </w:t>
      </w:r>
      <w:r>
        <w:t>Describe the qualifications and expertise of the individuals involved in the design of the performance assessment.</w:t>
      </w:r>
    </w:p>
    <w:p w14:paraId="3B5A3354" w14:textId="77777777" w:rsidR="00880A04" w:rsidRDefault="00880A04" w:rsidP="00880A04">
      <w:pPr>
        <w:pStyle w:val="ListParagraph"/>
        <w:ind w:left="360"/>
      </w:pPr>
    </w:p>
    <w:p w14:paraId="4B198C86" w14:textId="77777777" w:rsidR="004407E7" w:rsidRPr="004407E7" w:rsidRDefault="004407E7" w:rsidP="004407E7">
      <w:pPr>
        <w:pStyle w:val="ListParagraph"/>
        <w:ind w:left="360"/>
      </w:pPr>
    </w:p>
    <w:p w14:paraId="2E30C43A" w14:textId="77777777" w:rsidR="004407E7" w:rsidRDefault="004407E7" w:rsidP="004407E7">
      <w:pPr>
        <w:pStyle w:val="ListParagraph"/>
        <w:numPr>
          <w:ilvl w:val="0"/>
          <w:numId w:val="1"/>
        </w:numPr>
      </w:pPr>
      <w:r>
        <w:rPr>
          <w:b/>
        </w:rPr>
        <w:t xml:space="preserve">Content Quality (Content Analysis B3): </w:t>
      </w:r>
      <w:r>
        <w:t xml:space="preserve">Discuss </w:t>
      </w:r>
      <w:r w:rsidRPr="00CF3645">
        <w:t>how this performance assessment fit</w:t>
      </w:r>
      <w:r>
        <w:t>s</w:t>
      </w:r>
      <w:r w:rsidRPr="00CF3645">
        <w:t xml:space="preserve"> into the larger </w:t>
      </w:r>
      <w:r>
        <w:t>collection of assessment instruments (i.e., assessment plan)</w:t>
      </w:r>
      <w:r w:rsidRPr="00CF3645">
        <w:t xml:space="preserve"> in terms </w:t>
      </w:r>
      <w:r>
        <w:t>representing a balance between complex, extensive performance tasks and shorter structure assignments.</w:t>
      </w:r>
    </w:p>
    <w:p w14:paraId="1FE4ACDB" w14:textId="77777777" w:rsidR="004407E7" w:rsidRDefault="004407E7" w:rsidP="004407E7">
      <w:pPr>
        <w:pStyle w:val="ListParagraph"/>
        <w:ind w:left="360"/>
      </w:pPr>
    </w:p>
    <w:p w14:paraId="22C8017C" w14:textId="77777777" w:rsidR="004407E7" w:rsidRPr="004407E7" w:rsidRDefault="004407E7" w:rsidP="004407E7">
      <w:pPr>
        <w:pStyle w:val="ListParagraph"/>
        <w:ind w:left="360"/>
      </w:pPr>
    </w:p>
    <w:p w14:paraId="6DEDC72A" w14:textId="77777777" w:rsidR="000A147F" w:rsidRPr="004407E7" w:rsidRDefault="00AA5E1D" w:rsidP="004407E7">
      <w:pPr>
        <w:pStyle w:val="ListParagraph"/>
        <w:numPr>
          <w:ilvl w:val="0"/>
          <w:numId w:val="1"/>
        </w:numPr>
      </w:pPr>
      <w:r w:rsidRPr="004407E7">
        <w:rPr>
          <w:b/>
        </w:rPr>
        <w:t>Domain Coverage</w:t>
      </w:r>
      <w:r w:rsidR="00AB182B" w:rsidRPr="004407E7">
        <w:rPr>
          <w:b/>
        </w:rPr>
        <w:t xml:space="preserve"> (Validity Inquiry Form Q1)</w:t>
      </w:r>
      <w:r w:rsidRPr="004407E7">
        <w:rPr>
          <w:b/>
        </w:rPr>
        <w:t>:</w:t>
      </w:r>
      <w:r w:rsidRPr="00290B9E">
        <w:t xml:space="preserve"> </w:t>
      </w:r>
      <w:r w:rsidR="00AB182B">
        <w:t>Discuss t</w:t>
      </w:r>
      <w:r w:rsidR="00290B9E" w:rsidRPr="00CF3645">
        <w:t xml:space="preserve">o what extent </w:t>
      </w:r>
      <w:r w:rsidRPr="004407E7">
        <w:rPr>
          <w:rFonts w:cs="Times New Roman"/>
        </w:rPr>
        <w:t>the performance assessment</w:t>
      </w:r>
      <w:r w:rsidR="00003EE4" w:rsidRPr="004407E7">
        <w:rPr>
          <w:rFonts w:cs="Times New Roman"/>
        </w:rPr>
        <w:t>, based on the assignment instructions,</w:t>
      </w:r>
      <w:r w:rsidRPr="004407E7">
        <w:rPr>
          <w:rFonts w:cs="Times New Roman"/>
        </w:rPr>
        <w:t xml:space="preserve"> adequately </w:t>
      </w:r>
      <w:r w:rsidR="00003EE4" w:rsidRPr="004407E7">
        <w:rPr>
          <w:rFonts w:cs="Times New Roman"/>
        </w:rPr>
        <w:t>represent</w:t>
      </w:r>
      <w:r w:rsidR="00AB182B" w:rsidRPr="004407E7">
        <w:rPr>
          <w:rFonts w:cs="Times New Roman"/>
        </w:rPr>
        <w:t>s</w:t>
      </w:r>
      <w:r w:rsidR="00003EE4" w:rsidRPr="004407E7">
        <w:rPr>
          <w:rFonts w:cs="Times New Roman"/>
        </w:rPr>
        <w:t xml:space="preserve"> the domain of knowledge being evaluated and the </w:t>
      </w:r>
      <w:r w:rsidRPr="004407E7">
        <w:rPr>
          <w:rFonts w:cs="Times New Roman"/>
        </w:rPr>
        <w:t>outcome</w:t>
      </w:r>
      <w:r w:rsidR="00AB182B" w:rsidRPr="004407E7">
        <w:rPr>
          <w:rFonts w:cs="Times New Roman"/>
        </w:rPr>
        <w:t>(s)/standard(s) aligned to it.</w:t>
      </w:r>
      <w:r w:rsidR="004407E7" w:rsidRPr="004407E7">
        <w:rPr>
          <w:rFonts w:cs="Times New Roman"/>
        </w:rPr>
        <w:t xml:space="preserve"> </w:t>
      </w:r>
    </w:p>
    <w:p w14:paraId="55FE7D49" w14:textId="77777777" w:rsidR="004407E7" w:rsidRDefault="004407E7" w:rsidP="004407E7">
      <w:pPr>
        <w:pStyle w:val="ListParagraph"/>
        <w:ind w:left="360"/>
      </w:pPr>
    </w:p>
    <w:p w14:paraId="1F192A12" w14:textId="77777777" w:rsidR="000A147F" w:rsidRPr="00290B9E" w:rsidRDefault="000A147F" w:rsidP="000A147F">
      <w:pPr>
        <w:pStyle w:val="ListParagraph"/>
        <w:ind w:left="360"/>
      </w:pPr>
    </w:p>
    <w:p w14:paraId="236FB222" w14:textId="77777777" w:rsidR="00F41297" w:rsidRPr="00F41297" w:rsidRDefault="000A147F" w:rsidP="00AA5E1D">
      <w:pPr>
        <w:pStyle w:val="ListParagraph"/>
        <w:numPr>
          <w:ilvl w:val="0"/>
          <w:numId w:val="1"/>
        </w:numPr>
      </w:pPr>
      <w:r>
        <w:rPr>
          <w:b/>
        </w:rPr>
        <w:t>Content Quality (Validity Inquiry Form Q2)</w:t>
      </w:r>
      <w:r w:rsidRPr="00290B9E">
        <w:rPr>
          <w:b/>
        </w:rPr>
        <w:t>:</w:t>
      </w:r>
      <w:r w:rsidRPr="00290B9E">
        <w:t xml:space="preserve"> </w:t>
      </w:r>
      <w:r>
        <w:rPr>
          <w:rFonts w:cs="Times New Roman"/>
        </w:rPr>
        <w:t>Describe</w:t>
      </w:r>
      <w:r w:rsidR="00632941" w:rsidRPr="00CF3645">
        <w:rPr>
          <w:rFonts w:cs="Times New Roman"/>
        </w:rPr>
        <w:t xml:space="preserve"> </w:t>
      </w:r>
      <w:r>
        <w:rPr>
          <w:rFonts w:cs="Times New Roman"/>
        </w:rPr>
        <w:t>how this</w:t>
      </w:r>
      <w:r w:rsidR="00AA5E1D" w:rsidRPr="00CF3645">
        <w:rPr>
          <w:rFonts w:cs="Times New Roman"/>
        </w:rPr>
        <w:t xml:space="preserve"> performance assessment </w:t>
      </w:r>
      <w:r w:rsidR="00632941" w:rsidRPr="00CF3645">
        <w:rPr>
          <w:rFonts w:cs="Times New Roman"/>
        </w:rPr>
        <w:t>incorporate</w:t>
      </w:r>
      <w:r>
        <w:rPr>
          <w:rFonts w:cs="Times New Roman"/>
        </w:rPr>
        <w:t>s</w:t>
      </w:r>
      <w:r w:rsidR="00632941" w:rsidRPr="00CF3645">
        <w:rPr>
          <w:rFonts w:cs="Times New Roman"/>
        </w:rPr>
        <w:t xml:space="preserve"> an evaluation of</w:t>
      </w:r>
      <w:r w:rsidR="00AA5E1D" w:rsidRPr="00CF3645">
        <w:rPr>
          <w:rFonts w:cs="Times New Roman"/>
        </w:rPr>
        <w:t xml:space="preserve"> process or application skil</w:t>
      </w:r>
      <w:r>
        <w:rPr>
          <w:rFonts w:cs="Times New Roman"/>
        </w:rPr>
        <w:t>ls as well as content knowledge.</w:t>
      </w:r>
      <w:r w:rsidR="00AA5E1D" w:rsidRPr="00290B9E">
        <w:rPr>
          <w:rFonts w:cs="Times New Roman"/>
          <w:b/>
        </w:rPr>
        <w:t xml:space="preserve">  </w:t>
      </w:r>
    </w:p>
    <w:p w14:paraId="0F1181AB" w14:textId="77777777" w:rsidR="00F41297" w:rsidRPr="00290B9E" w:rsidRDefault="00F41297" w:rsidP="00F41297"/>
    <w:p w14:paraId="2DA84341" w14:textId="77777777" w:rsidR="00B042B7" w:rsidRPr="00290B9E" w:rsidRDefault="00AA5E1D" w:rsidP="00B042B7">
      <w:pPr>
        <w:pStyle w:val="ListParagraph"/>
        <w:numPr>
          <w:ilvl w:val="0"/>
          <w:numId w:val="1"/>
        </w:numPr>
      </w:pPr>
      <w:r w:rsidRPr="00290B9E">
        <w:rPr>
          <w:b/>
        </w:rPr>
        <w:t>Cognitive Complexity</w:t>
      </w:r>
      <w:r w:rsidR="003C68ED">
        <w:rPr>
          <w:b/>
        </w:rPr>
        <w:t xml:space="preserve"> (Validity Inquiry Form Q</w:t>
      </w:r>
      <w:r w:rsidR="00F41297">
        <w:rPr>
          <w:b/>
        </w:rPr>
        <w:t>3</w:t>
      </w:r>
      <w:r w:rsidR="003C68ED">
        <w:rPr>
          <w:b/>
        </w:rPr>
        <w:t>)</w:t>
      </w:r>
      <w:r w:rsidR="003C68ED" w:rsidRPr="00290B9E">
        <w:rPr>
          <w:b/>
        </w:rPr>
        <w:t>:</w:t>
      </w:r>
      <w:r w:rsidRPr="00290B9E">
        <w:t xml:space="preserve">  </w:t>
      </w:r>
      <w:r w:rsidR="00EF27F2">
        <w:rPr>
          <w:rFonts w:cs="Times New Roman"/>
        </w:rPr>
        <w:t>Provide an analysis of how</w:t>
      </w:r>
      <w:r w:rsidRPr="00CF3645">
        <w:rPr>
          <w:rFonts w:cs="Times New Roman"/>
        </w:rPr>
        <w:t xml:space="preserve"> the performance assessment </w:t>
      </w:r>
      <w:r w:rsidR="00CF3645" w:rsidRPr="00CF3645">
        <w:rPr>
          <w:rFonts w:cs="Times New Roman"/>
        </w:rPr>
        <w:t>expectations promote higher order thinking skills and application of knowledge</w:t>
      </w:r>
      <w:r w:rsidR="00EF27F2">
        <w:rPr>
          <w:rFonts w:cs="Times New Roman"/>
        </w:rPr>
        <w:t xml:space="preserve"> based on the </w:t>
      </w:r>
      <w:r w:rsidR="003C68ED">
        <w:rPr>
          <w:rFonts w:cs="Times New Roman"/>
        </w:rPr>
        <w:t>Rigor/Relevance Framework or another approach to analyzing cognitive complexity.</w:t>
      </w:r>
      <w:r w:rsidR="00B042B7">
        <w:rPr>
          <w:rFonts w:cs="Times New Roman"/>
        </w:rPr>
        <w:br/>
      </w:r>
      <w:r w:rsidR="00B042B7">
        <w:rPr>
          <w:rFonts w:cs="Times New Roman"/>
        </w:rPr>
        <w:br/>
      </w:r>
    </w:p>
    <w:p w14:paraId="2B28EF0E" w14:textId="77777777" w:rsidR="00AA5E1D" w:rsidRPr="00147628" w:rsidRDefault="00AA5E1D" w:rsidP="00147628">
      <w:pPr>
        <w:pStyle w:val="ListParagraph"/>
        <w:numPr>
          <w:ilvl w:val="0"/>
          <w:numId w:val="2"/>
        </w:numPr>
        <w:rPr>
          <w:b/>
        </w:rPr>
      </w:pPr>
      <w:r w:rsidRPr="00290B9E">
        <w:rPr>
          <w:b/>
        </w:rPr>
        <w:t>Meaningfulness</w:t>
      </w:r>
      <w:r w:rsidR="00B042B7">
        <w:rPr>
          <w:b/>
        </w:rPr>
        <w:t xml:space="preserve"> (Validity Inquiry Form Q4 and Student Survey)</w:t>
      </w:r>
      <w:r w:rsidR="00B042B7" w:rsidRPr="00290B9E">
        <w:rPr>
          <w:b/>
        </w:rPr>
        <w:t>:</w:t>
      </w:r>
      <w:r w:rsidR="00B042B7">
        <w:t xml:space="preserve"> Describe the content expert view of the meaningfulness and authenticity of the performance</w:t>
      </w:r>
      <w:r w:rsidRPr="00CF3645">
        <w:rPr>
          <w:rFonts w:cs="Times New Roman"/>
        </w:rPr>
        <w:t xml:space="preserve"> assessment in terms of the problem, project, or scenario presented</w:t>
      </w:r>
      <w:r w:rsidR="00B042B7">
        <w:rPr>
          <w:rFonts w:cs="Times New Roman"/>
        </w:rPr>
        <w:t>. Discuss the results of the Student Survey in terms of their view of the meaningfulness and authenticity of the performance assessment.</w:t>
      </w:r>
      <w:r w:rsidRPr="00290B9E">
        <w:rPr>
          <w:rFonts w:cs="Times New Roman"/>
          <w:b/>
        </w:rPr>
        <w:t xml:space="preserve">  </w:t>
      </w:r>
      <w:r w:rsidR="00147628">
        <w:rPr>
          <w:rFonts w:cs="Times New Roman"/>
          <w:b/>
        </w:rPr>
        <w:br/>
      </w:r>
      <w:r w:rsidR="00147628">
        <w:rPr>
          <w:rFonts w:cs="Times New Roman"/>
          <w:b/>
        </w:rPr>
        <w:br/>
      </w:r>
    </w:p>
    <w:p w14:paraId="5C67A8C7" w14:textId="4AA53F58" w:rsidR="00AA5E1D" w:rsidRPr="00290B9E" w:rsidRDefault="00AA5E1D" w:rsidP="001406E0">
      <w:pPr>
        <w:pStyle w:val="ListParagraph"/>
        <w:numPr>
          <w:ilvl w:val="0"/>
          <w:numId w:val="2"/>
        </w:numPr>
      </w:pPr>
      <w:r w:rsidRPr="00290B9E">
        <w:rPr>
          <w:b/>
        </w:rPr>
        <w:t>Consequences</w:t>
      </w:r>
      <w:r w:rsidR="00147628">
        <w:rPr>
          <w:b/>
        </w:rPr>
        <w:t xml:space="preserve"> (Validity Inquiry Form Q5)</w:t>
      </w:r>
      <w:r w:rsidRPr="00290B9E">
        <w:rPr>
          <w:b/>
        </w:rPr>
        <w:t xml:space="preserve">: </w:t>
      </w:r>
      <w:r w:rsidR="00147628">
        <w:t>Describe</w:t>
      </w:r>
      <w:r w:rsidRPr="00CF3645">
        <w:rPr>
          <w:rFonts w:cs="Times New Roman"/>
        </w:rPr>
        <w:t xml:space="preserve"> the consequences of the performance assessment in terms of </w:t>
      </w:r>
      <w:r w:rsidR="00CF3645">
        <w:rPr>
          <w:rFonts w:cs="Times New Roman"/>
        </w:rPr>
        <w:t xml:space="preserve">effect on learners and their future learning, </w:t>
      </w:r>
      <w:r w:rsidRPr="00CF3645">
        <w:rPr>
          <w:rFonts w:cs="Times New Roman"/>
        </w:rPr>
        <w:t>percent of overall grade</w:t>
      </w:r>
      <w:r w:rsidR="005E215E">
        <w:rPr>
          <w:rFonts w:cs="Times New Roman"/>
        </w:rPr>
        <w:t>,</w:t>
      </w:r>
      <w:r w:rsidRPr="00CF3645">
        <w:rPr>
          <w:rFonts w:cs="Times New Roman"/>
        </w:rPr>
        <w:t xml:space="preserve"> and/or </w:t>
      </w:r>
      <w:r w:rsidR="00147628">
        <w:rPr>
          <w:rFonts w:cs="Times New Roman"/>
        </w:rPr>
        <w:t>high stakes aspects of the performance assessment in relation to when it is administered in the program of study.</w:t>
      </w:r>
      <w:r w:rsidR="00BD007B">
        <w:rPr>
          <w:rFonts w:cs="Times New Roman"/>
        </w:rPr>
        <w:t xml:space="preserve"> Also, discuss the method for establishing the pass-fail or cut score and the extent to which the benefits of implementing the assessment outweighs any unintended adverse consequences. </w:t>
      </w:r>
      <w:r w:rsidR="00147628">
        <w:rPr>
          <w:rFonts w:cs="Times New Roman"/>
        </w:rPr>
        <w:br/>
      </w:r>
      <w:r w:rsidR="00147628" w:rsidRPr="001406E0">
        <w:rPr>
          <w:rFonts w:cs="Times New Roman"/>
        </w:rPr>
        <w:br/>
      </w:r>
    </w:p>
    <w:p w14:paraId="7D47C130" w14:textId="77777777" w:rsidR="00880A04" w:rsidRDefault="00AA5E1D" w:rsidP="00880A04">
      <w:pPr>
        <w:pStyle w:val="ListParagraph"/>
        <w:numPr>
          <w:ilvl w:val="0"/>
          <w:numId w:val="2"/>
        </w:numPr>
      </w:pPr>
      <w:r w:rsidRPr="00290B9E">
        <w:rPr>
          <w:b/>
        </w:rPr>
        <w:t>Fairness</w:t>
      </w:r>
      <w:r w:rsidR="00147628">
        <w:rPr>
          <w:b/>
        </w:rPr>
        <w:t xml:space="preserve"> (Validity Inquiry Form Q5)</w:t>
      </w:r>
      <w:r w:rsidRPr="00290B9E">
        <w:rPr>
          <w:b/>
        </w:rPr>
        <w:t xml:space="preserve">: </w:t>
      </w:r>
      <w:r w:rsidR="005E215E" w:rsidRPr="005E215E">
        <w:t xml:space="preserve">Discuss aspects of fairness </w:t>
      </w:r>
      <w:r w:rsidR="005E215E">
        <w:t>of</w:t>
      </w:r>
      <w:r w:rsidR="005E215E" w:rsidRPr="005E215E">
        <w:t xml:space="preserve"> the performance assessment in relation to </w:t>
      </w:r>
      <w:r w:rsidR="00735759">
        <w:t xml:space="preserve">how </w:t>
      </w:r>
      <w:r w:rsidR="005E215E" w:rsidRPr="005E215E">
        <w:t>all students</w:t>
      </w:r>
      <w:r w:rsidR="005E215E" w:rsidRPr="005E215E">
        <w:rPr>
          <w:rFonts w:cs="Times New Roman"/>
        </w:rPr>
        <w:t xml:space="preserve"> are provided</w:t>
      </w:r>
      <w:r w:rsidRPr="005E215E">
        <w:rPr>
          <w:rFonts w:cs="Times New Roman"/>
        </w:rPr>
        <w:t xml:space="preserve"> the same opportunity to gain the knowledge and skills necessary to complete the assessment</w:t>
      </w:r>
      <w:r w:rsidR="005E215E" w:rsidRPr="005E215E">
        <w:rPr>
          <w:rFonts w:cs="Times New Roman"/>
        </w:rPr>
        <w:t xml:space="preserve">, the format is familiar to students, </w:t>
      </w:r>
      <w:r w:rsidR="005E215E">
        <w:rPr>
          <w:rFonts w:cs="Times New Roman"/>
        </w:rPr>
        <w:t xml:space="preserve">and </w:t>
      </w:r>
      <w:r w:rsidR="005E215E" w:rsidRPr="005E215E">
        <w:t>the time required to complete the assessment is reasonable</w:t>
      </w:r>
      <w:r w:rsidR="005E215E">
        <w:t>.</w:t>
      </w:r>
    </w:p>
    <w:p w14:paraId="3C43057D" w14:textId="44CB572F" w:rsidR="00AA5E1D" w:rsidRPr="00B042B7" w:rsidRDefault="00735759" w:rsidP="00880A04">
      <w:pPr>
        <w:pStyle w:val="ListParagraph"/>
        <w:numPr>
          <w:ilvl w:val="0"/>
          <w:numId w:val="2"/>
        </w:numPr>
      </w:pPr>
      <w:r w:rsidRPr="00880A04">
        <w:rPr>
          <w:b/>
        </w:rPr>
        <w:lastRenderedPageBreak/>
        <w:t>Fairness (Metarubric</w:t>
      </w:r>
      <w:r w:rsidR="006C43B7" w:rsidRPr="00880A04">
        <w:rPr>
          <w:b/>
        </w:rPr>
        <w:t>, Criteria, Scale, Descriptions, and Overall Qualities</w:t>
      </w:r>
      <w:r w:rsidRPr="00880A04">
        <w:rPr>
          <w:b/>
        </w:rPr>
        <w:t xml:space="preserve">): </w:t>
      </w:r>
      <w:r>
        <w:t>Provide an overall d</w:t>
      </w:r>
      <w:r w:rsidR="00391D5A">
        <w:t>escription</w:t>
      </w:r>
      <w:r>
        <w:t xml:space="preserve"> of the rubric or scoring guide in relation to the criteria, scale, descriptions, </w:t>
      </w:r>
      <w:r w:rsidR="004D2141">
        <w:t>and overall qualities.</w:t>
      </w:r>
      <w:r w:rsidR="00391D5A">
        <w:t xml:space="preserve"> Discuss performance assessment instructions and scoring guide in terms of students’ ability to utilize the descriptions as feedback and accurately interpret the score.</w:t>
      </w:r>
      <w:r w:rsidR="004D2141">
        <w:br/>
      </w:r>
      <w:r w:rsidR="004D2141">
        <w:br/>
      </w:r>
    </w:p>
    <w:p w14:paraId="7236625A" w14:textId="77777777" w:rsidR="00B042B7" w:rsidRPr="00147628" w:rsidRDefault="00147628" w:rsidP="00147628">
      <w:pPr>
        <w:spacing w:after="0" w:line="240" w:lineRule="auto"/>
        <w:rPr>
          <w:b/>
        </w:rPr>
      </w:pPr>
      <w:r>
        <w:rPr>
          <w:b/>
        </w:rPr>
        <w:t>3</w:t>
      </w:r>
      <w:r w:rsidR="00B042B7" w:rsidRPr="00147628">
        <w:rPr>
          <w:b/>
        </w:rPr>
        <w:t xml:space="preserve">) </w:t>
      </w:r>
      <w:r>
        <w:rPr>
          <w:b/>
        </w:rPr>
        <w:t>Reliability of Data Collected</w:t>
      </w:r>
      <w:r w:rsidR="00B042B7" w:rsidRPr="00147628">
        <w:rPr>
          <w:b/>
        </w:rPr>
        <w:t>:</w:t>
      </w:r>
    </w:p>
    <w:p w14:paraId="6FB591FA" w14:textId="45C5C048" w:rsidR="00BD007B" w:rsidRDefault="00BD007B" w:rsidP="0026706D">
      <w:pPr>
        <w:pStyle w:val="ListParagraph"/>
        <w:numPr>
          <w:ilvl w:val="0"/>
          <w:numId w:val="5"/>
        </w:numPr>
      </w:pPr>
      <w:r w:rsidRPr="0026706D">
        <w:rPr>
          <w:b/>
        </w:rPr>
        <w:t>Cost and Efficiency (Content Analysis</w:t>
      </w:r>
      <w:r w:rsidR="0026706D" w:rsidRPr="0026706D">
        <w:rPr>
          <w:b/>
        </w:rPr>
        <w:t xml:space="preserve"> B5 and Validity Inquiry Form Q7): </w:t>
      </w:r>
      <w:r w:rsidR="0026706D">
        <w:t>Articulate the benefits of the performance assessment in relation to the practicality of implementation. Document the data collection procedures and process for distributing results to students and evaluators.</w:t>
      </w:r>
      <w:bookmarkStart w:id="0" w:name="_GoBack"/>
      <w:bookmarkEnd w:id="0"/>
      <w:r w:rsidR="0026706D">
        <w:br/>
      </w:r>
      <w:r w:rsidR="0026706D">
        <w:br/>
      </w:r>
    </w:p>
    <w:p w14:paraId="4E6E5BD4" w14:textId="61CCDC9F" w:rsidR="0026706D" w:rsidRDefault="0026706D" w:rsidP="0026706D">
      <w:pPr>
        <w:pStyle w:val="ListParagraph"/>
        <w:numPr>
          <w:ilvl w:val="0"/>
          <w:numId w:val="5"/>
        </w:numPr>
      </w:pPr>
      <w:r>
        <w:rPr>
          <w:b/>
        </w:rPr>
        <w:t>Training of Evaluators:</w:t>
      </w:r>
      <w:r w:rsidR="00AC2AEF">
        <w:t xml:space="preserve"> Describe the process for training evaluators to implement the performance assessment (i.e., calibration training). Discuss tests and results of inter-rater </w:t>
      </w:r>
      <w:r w:rsidR="00345E20">
        <w:t>agreement</w:t>
      </w:r>
      <w:r w:rsidR="00AC2AEF">
        <w:t xml:space="preserve"> and systematic process for re-certification of evaluators.</w:t>
      </w:r>
      <w:r w:rsidR="00AC2AEF">
        <w:br/>
      </w:r>
      <w:r w:rsidR="00AC2AEF">
        <w:br/>
      </w:r>
    </w:p>
    <w:p w14:paraId="66BD3641" w14:textId="42BE49C4" w:rsidR="00AC2AEF" w:rsidRDefault="006C43B7" w:rsidP="0026706D">
      <w:pPr>
        <w:pStyle w:val="ListParagraph"/>
        <w:numPr>
          <w:ilvl w:val="0"/>
          <w:numId w:val="5"/>
        </w:numPr>
        <w:rPr>
          <w:b/>
        </w:rPr>
      </w:pPr>
      <w:r>
        <w:rPr>
          <w:b/>
        </w:rPr>
        <w:t xml:space="preserve">Scoring Guide (Metarubric, Use of Rubric): </w:t>
      </w:r>
      <w:r>
        <w:t>Note observations of evaluators based on actual implementation of the scoring guide or rubric. Discuss the application of the criteria and levels in rel</w:t>
      </w:r>
      <w:r w:rsidR="0011626C">
        <w:t>ation to student work products including steps taken to ensure there is no missing information or instructional preparation causing students to perform poorly on any aspect of the assessment.</w:t>
      </w:r>
      <w:r>
        <w:rPr>
          <w:b/>
        </w:rPr>
        <w:br/>
      </w:r>
      <w:r>
        <w:rPr>
          <w:b/>
        </w:rPr>
        <w:br/>
      </w:r>
    </w:p>
    <w:p w14:paraId="233B2452" w14:textId="77777777" w:rsidR="00880A04" w:rsidRPr="00880A04" w:rsidRDefault="006C43B7" w:rsidP="0026706D">
      <w:pPr>
        <w:pStyle w:val="ListParagraph"/>
        <w:numPr>
          <w:ilvl w:val="0"/>
          <w:numId w:val="5"/>
        </w:numPr>
        <w:rPr>
          <w:b/>
        </w:rPr>
      </w:pPr>
      <w:r>
        <w:rPr>
          <w:b/>
        </w:rPr>
        <w:t>Data Analysis:</w:t>
      </w:r>
      <w:r w:rsidR="0011626C">
        <w:rPr>
          <w:b/>
        </w:rPr>
        <w:t xml:space="preserve">  </w:t>
      </w:r>
      <w:r w:rsidR="0011626C">
        <w:t xml:space="preserve">Provide an analysis of </w:t>
      </w:r>
      <w:r w:rsidR="00196020">
        <w:t>the effectiveness of the data reporting and the use of the results</w:t>
      </w:r>
      <w:r w:rsidR="004B2741">
        <w:t xml:space="preserve"> </w:t>
      </w:r>
      <w:r w:rsidR="00EF5533">
        <w:t>for</w:t>
      </w:r>
      <w:r w:rsidR="004B2741">
        <w:t xml:space="preserve"> each of the </w:t>
      </w:r>
      <w:r w:rsidR="00EF5533">
        <w:t xml:space="preserve">scoring </w:t>
      </w:r>
      <w:r w:rsidR="004B2741">
        <w:t>criteria</w:t>
      </w:r>
      <w:r w:rsidR="00EF5533">
        <w:t xml:space="preserve"> as well as</w:t>
      </w:r>
      <w:r w:rsidR="004B2741">
        <w:t xml:space="preserve"> </w:t>
      </w:r>
      <w:r w:rsidR="00196020">
        <w:t xml:space="preserve">results for </w:t>
      </w:r>
      <w:r w:rsidR="004B2741">
        <w:t xml:space="preserve">criteria </w:t>
      </w:r>
      <w:r w:rsidR="00EF5533">
        <w:t xml:space="preserve">groupings </w:t>
      </w:r>
      <w:r w:rsidR="004B2741">
        <w:t>that represent a subscale, if applicable</w:t>
      </w:r>
      <w:r w:rsidR="00EF5533">
        <w:t xml:space="preserve">.  Also </w:t>
      </w:r>
      <w:r w:rsidR="00920330">
        <w:t>provide an analysis of</w:t>
      </w:r>
      <w:r w:rsidR="00EF5533">
        <w:t xml:space="preserve"> </w:t>
      </w:r>
      <w:r w:rsidR="004B2741">
        <w:t>the</w:t>
      </w:r>
      <w:r w:rsidR="00EF5533">
        <w:t xml:space="preserve"> results of the</w:t>
      </w:r>
      <w:r w:rsidR="004B2741">
        <w:t xml:space="preserve"> assessment as a whole. In the analysis</w:t>
      </w:r>
      <w:r w:rsidR="00EF5533">
        <w:t>,</w:t>
      </w:r>
      <w:r w:rsidR="004B2741">
        <w:t xml:space="preserve"> discuss the capacity of the instrument to discriminate</w:t>
      </w:r>
      <w:r w:rsidR="00920330">
        <w:t xml:space="preserve"> or differentiate among student</w:t>
      </w:r>
      <w:r w:rsidR="004B2741">
        <w:t xml:space="preserve"> performance</w:t>
      </w:r>
      <w:r w:rsidR="0011626C">
        <w:t xml:space="preserve">.  </w:t>
      </w:r>
      <w:r w:rsidR="00EF5533">
        <w:t>In addition,</w:t>
      </w:r>
      <w:r w:rsidR="004B2741">
        <w:t xml:space="preserve"> discuss the analysis of results in relation to individual evaluators.  In </w:t>
      </w:r>
      <w:r w:rsidR="00EF5533">
        <w:t>reviewing</w:t>
      </w:r>
      <w:r w:rsidR="004B2741">
        <w:t xml:space="preserve"> scores of individual evaluators, discuss evidence related to the use of the entire rating scale or consistent concentration only one or more elements</w:t>
      </w:r>
      <w:r w:rsidR="00885DD2">
        <w:t xml:space="preserve">.  Include the results of </w:t>
      </w:r>
      <w:r w:rsidR="00EF5533">
        <w:t xml:space="preserve">any </w:t>
      </w:r>
      <w:r w:rsidR="004B2741">
        <w:t>subsequent checks for</w:t>
      </w:r>
      <w:r w:rsidR="00EF5533">
        <w:t xml:space="preserve"> inter-rate</w:t>
      </w:r>
      <w:r w:rsidR="00885DD2">
        <w:t>r</w:t>
      </w:r>
      <w:r w:rsidR="00EF5533">
        <w:t xml:space="preserve"> </w:t>
      </w:r>
      <w:r w:rsidR="00345E20">
        <w:t>agreement</w:t>
      </w:r>
      <w:r w:rsidR="00EF5533">
        <w:t>, especially checks prompted by findings from the review of results.</w:t>
      </w:r>
    </w:p>
    <w:p w14:paraId="26753359" w14:textId="77777777" w:rsidR="00880A04" w:rsidRDefault="00880A04" w:rsidP="00880A04"/>
    <w:p w14:paraId="793FB632" w14:textId="77777777" w:rsidR="00880A04" w:rsidRDefault="00880A04" w:rsidP="00880A04"/>
    <w:p w14:paraId="36ADD6AF" w14:textId="77777777" w:rsidR="00880A04" w:rsidRDefault="00880A04" w:rsidP="00880A04">
      <w:pPr>
        <w:rPr>
          <w:rFonts w:ascii="Calibri" w:eastAsia="Calibri" w:hAnsi="Calibri" w:cs="Calibri"/>
          <w:b/>
        </w:rPr>
      </w:pPr>
    </w:p>
    <w:p w14:paraId="4611B923" w14:textId="77777777" w:rsidR="00880A04" w:rsidRDefault="00880A04" w:rsidP="00880A04">
      <w:pPr>
        <w:rPr>
          <w:rFonts w:ascii="Calibri" w:eastAsia="Calibri" w:hAnsi="Calibri" w:cs="Calibri"/>
          <w:b/>
        </w:rPr>
      </w:pPr>
    </w:p>
    <w:p w14:paraId="30F84B15" w14:textId="77777777" w:rsidR="00880A04" w:rsidRDefault="00880A04" w:rsidP="00880A04">
      <w:pPr>
        <w:rPr>
          <w:rFonts w:ascii="Calibri" w:eastAsia="Calibri" w:hAnsi="Calibri" w:cs="Calibri"/>
          <w:b/>
        </w:rPr>
      </w:pPr>
    </w:p>
    <w:p w14:paraId="40653687" w14:textId="77777777" w:rsidR="00880A04" w:rsidRDefault="00880A04" w:rsidP="00880A04">
      <w:pPr>
        <w:rPr>
          <w:rFonts w:ascii="Calibri" w:eastAsia="Calibri" w:hAnsi="Calibri" w:cs="Calibri"/>
          <w:b/>
        </w:rPr>
      </w:pPr>
    </w:p>
    <w:p w14:paraId="0110B61B" w14:textId="77777777" w:rsidR="00880A04" w:rsidRDefault="00880A04" w:rsidP="00880A04">
      <w:pPr>
        <w:rPr>
          <w:rFonts w:ascii="Calibri" w:eastAsia="Calibri" w:hAnsi="Calibri" w:cs="Calibri"/>
          <w:b/>
        </w:rPr>
      </w:pPr>
      <w:r>
        <w:rPr>
          <w:rFonts w:ascii="Calibri" w:eastAsia="Calibri" w:hAnsi="Calibri" w:cs="Calibri"/>
          <w:b/>
        </w:rPr>
        <w:lastRenderedPageBreak/>
        <w:t>References</w:t>
      </w:r>
    </w:p>
    <w:p w14:paraId="71937B67" w14:textId="11AE0186" w:rsidR="004F5B88" w:rsidRDefault="004F5B88" w:rsidP="00880A04">
      <w:pPr>
        <w:spacing w:line="240" w:lineRule="auto"/>
        <w:ind w:left="360" w:hanging="360"/>
        <w:rPr>
          <w:rFonts w:ascii="Calibri" w:eastAsia="Calibri" w:hAnsi="Calibri" w:cs="Calibri"/>
        </w:rPr>
      </w:pPr>
      <w:r>
        <w:rPr>
          <w:color w:val="000000"/>
        </w:rPr>
        <w:t>Baldwin, D., Fowles, M., &amp; Livingston, S. (2005). Guidelines for constructed-response and other performance assessments. Princeton, NJ: Educational Testing Services.</w:t>
      </w:r>
    </w:p>
    <w:p w14:paraId="6E8F1651" w14:textId="77777777" w:rsidR="00880A04" w:rsidRDefault="00880A04" w:rsidP="00880A04">
      <w:pPr>
        <w:spacing w:line="240" w:lineRule="auto"/>
        <w:ind w:left="360" w:hanging="360"/>
        <w:rPr>
          <w:rFonts w:ascii="Calibri" w:eastAsia="Calibri" w:hAnsi="Calibri" w:cs="Calibri"/>
        </w:rPr>
      </w:pPr>
      <w:r>
        <w:rPr>
          <w:rFonts w:ascii="Calibri" w:eastAsia="Calibri" w:hAnsi="Calibri" w:cs="Calibri"/>
        </w:rPr>
        <w:t xml:space="preserve">Downing, S. M. (2003). Validity: On the meaningful interpretation of assessment data. </w:t>
      </w:r>
      <w:r>
        <w:rPr>
          <w:rFonts w:ascii="Calibri" w:eastAsia="Calibri" w:hAnsi="Calibri" w:cs="Calibri"/>
          <w:i/>
        </w:rPr>
        <w:t>Medical Education, 37</w:t>
      </w:r>
      <w:r>
        <w:rPr>
          <w:rFonts w:ascii="Calibri" w:eastAsia="Calibri" w:hAnsi="Calibri" w:cs="Calibri"/>
        </w:rPr>
        <w:t>(9), 830-837.</w:t>
      </w:r>
    </w:p>
    <w:p w14:paraId="6CAC74B5" w14:textId="77777777" w:rsidR="00880A04" w:rsidRDefault="00880A04" w:rsidP="00880A04">
      <w:pPr>
        <w:spacing w:line="240" w:lineRule="auto"/>
        <w:ind w:left="360" w:hanging="360"/>
        <w:rPr>
          <w:rFonts w:ascii="Calibri" w:eastAsia="Calibri" w:hAnsi="Calibri" w:cs="Calibri"/>
        </w:rPr>
      </w:pPr>
      <w:r>
        <w:rPr>
          <w:rFonts w:ascii="Calibri" w:eastAsia="Calibri" w:hAnsi="Calibri" w:cs="Calibri"/>
        </w:rPr>
        <w:t xml:space="preserve">Gall, M. D., Borg, W. R., &amp; Gall, J. P. (1996). </w:t>
      </w:r>
      <w:r>
        <w:rPr>
          <w:rFonts w:ascii="Calibri" w:eastAsia="Calibri" w:hAnsi="Calibri" w:cs="Calibri"/>
          <w:i/>
        </w:rPr>
        <w:t>Educational research: An introduction</w:t>
      </w:r>
      <w:r>
        <w:rPr>
          <w:rFonts w:ascii="Calibri" w:eastAsia="Calibri" w:hAnsi="Calibri" w:cs="Calibri"/>
        </w:rPr>
        <w:t xml:space="preserve"> (6</w:t>
      </w:r>
      <w:r>
        <w:rPr>
          <w:rFonts w:ascii="Calibri" w:eastAsia="Calibri" w:hAnsi="Calibri" w:cs="Calibri"/>
          <w:vertAlign w:val="superscript"/>
        </w:rPr>
        <w:t>th</w:t>
      </w:r>
      <w:r>
        <w:rPr>
          <w:rFonts w:ascii="Calibri" w:eastAsia="Calibri" w:hAnsi="Calibri" w:cs="Calibri"/>
        </w:rPr>
        <w:t xml:space="preserve"> Edition). White </w:t>
      </w:r>
      <w:r>
        <w:rPr>
          <w:rFonts w:ascii="Calibri" w:eastAsia="Calibri" w:hAnsi="Calibri" w:cs="Calibri"/>
        </w:rPr>
        <w:t>Plains, NY: Longman Publishers.</w:t>
      </w:r>
    </w:p>
    <w:p w14:paraId="7926EAD8" w14:textId="24A0A82F" w:rsidR="00880A04" w:rsidRDefault="00880A04" w:rsidP="00880A04">
      <w:pPr>
        <w:spacing w:line="240" w:lineRule="auto"/>
        <w:ind w:left="360" w:hanging="360"/>
        <w:rPr>
          <w:rFonts w:ascii="Calibri" w:eastAsia="Calibri" w:hAnsi="Calibri" w:cs="Calibri"/>
        </w:rPr>
      </w:pPr>
      <w:r>
        <w:rPr>
          <w:rFonts w:ascii="Calibri" w:eastAsia="Calibri" w:hAnsi="Calibri" w:cs="Calibri"/>
        </w:rPr>
        <w:t xml:space="preserve">International Center for Leadership in Education. (n.d.). Rigor/relevance framework. Retrieved from </w:t>
      </w:r>
      <w:r w:rsidRPr="00880A04">
        <w:rPr>
          <w:rFonts w:ascii="Calibri" w:eastAsia="Calibri" w:hAnsi="Calibri" w:cs="Calibri"/>
        </w:rPr>
        <w:t>http://www.leadered.com/our-philosophy/rigor-relevance-framework.php</w:t>
      </w:r>
      <w:r>
        <w:rPr>
          <w:rFonts w:ascii="Calibri" w:eastAsia="Calibri" w:hAnsi="Calibri" w:cs="Calibri"/>
        </w:rPr>
        <w:t>.</w:t>
      </w:r>
    </w:p>
    <w:p w14:paraId="70B728FC" w14:textId="77777777" w:rsidR="00880A04" w:rsidRDefault="00880A04" w:rsidP="00880A04">
      <w:pPr>
        <w:spacing w:line="240" w:lineRule="auto"/>
        <w:rPr>
          <w:rFonts w:ascii="Calibri" w:eastAsia="Calibri" w:hAnsi="Calibri" w:cs="Calibri"/>
        </w:rPr>
      </w:pPr>
      <w:r>
        <w:rPr>
          <w:rFonts w:ascii="Calibri" w:eastAsia="Calibri" w:hAnsi="Calibri" w:cs="Calibri"/>
        </w:rPr>
        <w:t xml:space="preserve">Kane, M. (2013). The argument-based approach to validation. </w:t>
      </w:r>
      <w:r>
        <w:rPr>
          <w:rFonts w:ascii="Calibri" w:eastAsia="Calibri" w:hAnsi="Calibri" w:cs="Calibri"/>
          <w:i/>
        </w:rPr>
        <w:t>School Psychology Review</w:t>
      </w:r>
      <w:r>
        <w:rPr>
          <w:rFonts w:ascii="Calibri" w:eastAsia="Calibri" w:hAnsi="Calibri" w:cs="Calibri"/>
        </w:rPr>
        <w:t xml:space="preserve">, </w:t>
      </w:r>
      <w:r>
        <w:rPr>
          <w:rFonts w:ascii="Calibri" w:eastAsia="Calibri" w:hAnsi="Calibri" w:cs="Calibri"/>
          <w:i/>
        </w:rPr>
        <w:t>42</w:t>
      </w:r>
      <w:r>
        <w:rPr>
          <w:rFonts w:ascii="Calibri" w:eastAsia="Calibri" w:hAnsi="Calibri" w:cs="Calibri"/>
        </w:rPr>
        <w:t>(4), 448-457.</w:t>
      </w:r>
    </w:p>
    <w:p w14:paraId="2F973A24" w14:textId="77777777" w:rsidR="00880A04" w:rsidRDefault="00880A04" w:rsidP="00880A04">
      <w:pPr>
        <w:spacing w:line="240" w:lineRule="auto"/>
        <w:ind w:left="360" w:hanging="360"/>
        <w:rPr>
          <w:rFonts w:ascii="Calibri" w:eastAsia="Calibri" w:hAnsi="Calibri" w:cs="Calibri"/>
        </w:rPr>
      </w:pPr>
      <w:r>
        <w:rPr>
          <w:rFonts w:ascii="Calibri" w:eastAsia="Calibri" w:hAnsi="Calibri" w:cs="Calibri"/>
        </w:rPr>
        <w:t xml:space="preserve">Linn, R. L., Baker, E. L., &amp; Dunbar, S. B. (1991). Complex, performance-based assessment: Expectations and validation criteria. </w:t>
      </w:r>
      <w:r>
        <w:rPr>
          <w:rFonts w:ascii="Calibri" w:eastAsia="Calibri" w:hAnsi="Calibri" w:cs="Calibri"/>
          <w:i/>
        </w:rPr>
        <w:t xml:space="preserve">Educational Researcher, </w:t>
      </w:r>
      <w:r>
        <w:rPr>
          <w:rFonts w:ascii="Calibri" w:eastAsia="Calibri" w:hAnsi="Calibri" w:cs="Calibri"/>
          <w:i/>
        </w:rPr>
        <w:t>20</w:t>
      </w:r>
      <w:r>
        <w:rPr>
          <w:rFonts w:ascii="Calibri" w:eastAsia="Calibri" w:hAnsi="Calibri" w:cs="Calibri"/>
        </w:rPr>
        <w:t>(8), 15-21.</w:t>
      </w:r>
    </w:p>
    <w:p w14:paraId="411C4A4B" w14:textId="77777777" w:rsidR="004C65E3" w:rsidRDefault="00880A04" w:rsidP="00880A04">
      <w:pPr>
        <w:spacing w:line="240" w:lineRule="auto"/>
        <w:ind w:left="360" w:hanging="360"/>
      </w:pPr>
      <w:r>
        <w:rPr>
          <w:rFonts w:ascii="Calibri" w:eastAsia="Calibri" w:hAnsi="Calibri" w:cs="Calibri"/>
        </w:rPr>
        <w:t xml:space="preserve">Messick, S. (1994). The interplay of evidence and consequences in the validation of performance assessments. </w:t>
      </w:r>
      <w:r>
        <w:rPr>
          <w:rFonts w:ascii="Calibri" w:eastAsia="Calibri" w:hAnsi="Calibri" w:cs="Calibri"/>
          <w:i/>
        </w:rPr>
        <w:t>Educational Researcher, 23</w:t>
      </w:r>
      <w:r>
        <w:rPr>
          <w:rFonts w:ascii="Calibri" w:eastAsia="Calibri" w:hAnsi="Calibri" w:cs="Calibri"/>
        </w:rPr>
        <w:t>(2), 13-23.</w:t>
      </w:r>
      <w:r w:rsidR="004B2741">
        <w:t xml:space="preserve"> </w:t>
      </w:r>
      <w:r w:rsidR="0011626C">
        <w:t xml:space="preserve"> </w:t>
      </w:r>
    </w:p>
    <w:p w14:paraId="4C9C4466" w14:textId="2061540E" w:rsidR="004C65E3" w:rsidRDefault="004C65E3" w:rsidP="004C65E3">
      <w:pPr>
        <w:spacing w:line="240" w:lineRule="auto"/>
        <w:ind w:left="360" w:hanging="360"/>
        <w:rPr>
          <w:rFonts w:cstheme="minorHAnsi"/>
        </w:rPr>
      </w:pPr>
      <w:r>
        <w:rPr>
          <w:rFonts w:cstheme="minorHAnsi"/>
        </w:rPr>
        <w:t xml:space="preserve">Pieper, S. L. (2012, May 21). Evaluating descriptive rubrics checklist. Retrieved from </w:t>
      </w:r>
      <w:r w:rsidRPr="004C65E3">
        <w:rPr>
          <w:rFonts w:cstheme="minorHAnsi"/>
        </w:rPr>
        <w:t>http://www2.nau.edu/~d-elearn/events/tracks.php?EVENT_ID=165</w:t>
      </w:r>
    </w:p>
    <w:p w14:paraId="421C52BF" w14:textId="77777777" w:rsidR="004C65E3" w:rsidRDefault="004C65E3" w:rsidP="004C65E3">
      <w:pPr>
        <w:pBdr>
          <w:top w:val="nil"/>
          <w:left w:val="nil"/>
          <w:bottom w:val="nil"/>
          <w:right w:val="nil"/>
          <w:between w:val="nil"/>
          <w:bar w:val="nil"/>
        </w:pBdr>
        <w:ind w:left="720" w:hanging="720"/>
        <w:rPr>
          <w:rFonts w:cstheme="minorHAnsi"/>
        </w:rPr>
      </w:pPr>
      <w:r w:rsidRPr="00252838">
        <w:rPr>
          <w:rFonts w:cstheme="minorHAnsi"/>
        </w:rPr>
        <w:t xml:space="preserve">Stevens, D. D., &amp; Levi, A. J. (2005). </w:t>
      </w:r>
      <w:r w:rsidRPr="00252838">
        <w:rPr>
          <w:rFonts w:cstheme="minorHAnsi"/>
          <w:i/>
        </w:rPr>
        <w:t>Introduction to rubrics: An assessment tool to save grading time, convey effective feedback and promote student learning</w:t>
      </w:r>
      <w:r w:rsidRPr="00252838">
        <w:rPr>
          <w:rFonts w:cstheme="minorHAnsi"/>
        </w:rPr>
        <w:t>. Sterling, VA: Stylus Publishing, LLC.</w:t>
      </w:r>
    </w:p>
    <w:p w14:paraId="11E7E73E" w14:textId="21F8D745" w:rsidR="006C43B7" w:rsidRPr="00880A04" w:rsidRDefault="0011626C" w:rsidP="004C65E3">
      <w:pPr>
        <w:spacing w:line="240" w:lineRule="auto"/>
        <w:ind w:left="360" w:hanging="360"/>
        <w:rPr>
          <w:rFonts w:ascii="Calibri" w:eastAsia="Calibri" w:hAnsi="Calibri" w:cs="Calibri"/>
        </w:rPr>
      </w:pPr>
      <w:r>
        <w:t xml:space="preserve"> </w:t>
      </w:r>
    </w:p>
    <w:p w14:paraId="4E0DC995" w14:textId="77777777" w:rsidR="00641EDD" w:rsidRDefault="00641EDD" w:rsidP="00B042B7"/>
    <w:sectPr w:rsidR="00641EDD" w:rsidSect="00880A04">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CFBFA" w14:textId="77777777" w:rsidR="00880A04" w:rsidRDefault="00880A04" w:rsidP="00880A04">
      <w:pPr>
        <w:spacing w:after="0" w:line="240" w:lineRule="auto"/>
      </w:pPr>
      <w:r>
        <w:separator/>
      </w:r>
    </w:p>
  </w:endnote>
  <w:endnote w:type="continuationSeparator" w:id="0">
    <w:p w14:paraId="36CAA08E" w14:textId="77777777" w:rsidR="00880A04" w:rsidRDefault="00880A04" w:rsidP="0088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A4977" w14:textId="77777777" w:rsidR="00880A04" w:rsidRDefault="00880A04" w:rsidP="00880A04">
    <w:pPr>
      <w:pStyle w:val="Header"/>
      <w:rPr>
        <w:rFonts w:ascii="Calibri" w:eastAsia="Calibri" w:hAnsi="Calibri" w:cs="Calibri"/>
        <w:sz w:val="18"/>
        <w:szCs w:val="18"/>
      </w:rPr>
    </w:pPr>
    <w:r>
      <w:rPr>
        <w:rFonts w:ascii="Calibri" w:eastAsia="Calibri" w:hAnsi="Calibri" w:cs="Calibri"/>
        <w:sz w:val="18"/>
        <w:szCs w:val="18"/>
      </w:rPr>
      <w:t>Copyright © 2017, Dr. Cynthia Conn, Dr. Suzanne Pieper, &amp; Dr. Kathy Bohan, Northern Arizona University</w:t>
    </w:r>
    <w:r>
      <w:rPr>
        <w:rFonts w:ascii="Calibri" w:eastAsia="Calibri" w:hAnsi="Calibri" w:cs="Calibri"/>
        <w:sz w:val="18"/>
        <w:szCs w:val="18"/>
      </w:rPr>
      <w:br/>
      <w:t>Do not reprint or post without permission from the authors.</w:t>
    </w:r>
  </w:p>
  <w:p w14:paraId="25113F76" w14:textId="77777777" w:rsidR="00880A04" w:rsidRDefault="00880A04" w:rsidP="00880A04">
    <w:pPr>
      <w:pStyle w:val="Header"/>
    </w:pPr>
    <w:r>
      <w:rPr>
        <w:rFonts w:ascii="Calibri" w:eastAsia="Calibri" w:hAnsi="Calibri" w:cs="Calibri"/>
        <w:sz w:val="18"/>
        <w:szCs w:val="18"/>
      </w:rPr>
      <w:t xml:space="preserve">This instrument can be accessed online: </w:t>
    </w:r>
    <w:hyperlink r:id="rId1">
      <w:r>
        <w:rPr>
          <w:rFonts w:ascii="Calibri" w:eastAsia="Calibri" w:hAnsi="Calibri" w:cs="Calibri"/>
          <w:color w:val="1155CC"/>
          <w:sz w:val="18"/>
          <w:szCs w:val="18"/>
          <w:u w:val="single"/>
        </w:rPr>
        <w:t>https://nau.edu/Provost/PEP/Quality-Assurance-System/</w:t>
      </w:r>
    </w:hyperlink>
  </w:p>
  <w:sdt>
    <w:sdtPr>
      <w:id w:val="-1056543037"/>
      <w:docPartObj>
        <w:docPartGallery w:val="Page Numbers (Bottom of Page)"/>
        <w:docPartUnique/>
      </w:docPartObj>
    </w:sdtPr>
    <w:sdtEndPr>
      <w:rPr>
        <w:noProof/>
      </w:rPr>
    </w:sdtEndPr>
    <w:sdtContent>
      <w:p w14:paraId="7D018B48" w14:textId="78794CC9" w:rsidR="00880A04" w:rsidRDefault="00880A04">
        <w:pPr>
          <w:pStyle w:val="Footer"/>
          <w:jc w:val="right"/>
        </w:pPr>
        <w:r>
          <w:fldChar w:fldCharType="begin"/>
        </w:r>
        <w:r>
          <w:instrText xml:space="preserve"> PAGE   \* MERGEFORMAT </w:instrText>
        </w:r>
        <w:r>
          <w:fldChar w:fldCharType="separate"/>
        </w:r>
        <w:r w:rsidR="004F5B88">
          <w:rPr>
            <w:noProof/>
          </w:rPr>
          <w:t>4</w:t>
        </w:r>
        <w:r>
          <w:rPr>
            <w:noProof/>
          </w:rPr>
          <w:fldChar w:fldCharType="end"/>
        </w:r>
      </w:p>
    </w:sdtContent>
  </w:sdt>
  <w:p w14:paraId="0D86874F" w14:textId="77777777" w:rsidR="00880A04" w:rsidRDefault="00880A04" w:rsidP="00880A04">
    <w:pPr>
      <w:pStyle w:val="Head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04452" w14:textId="77777777" w:rsidR="00880A04" w:rsidRDefault="00880A04" w:rsidP="00880A04">
    <w:pPr>
      <w:pStyle w:val="Header"/>
      <w:rPr>
        <w:rFonts w:ascii="Calibri" w:eastAsia="Calibri" w:hAnsi="Calibri" w:cs="Calibri"/>
        <w:sz w:val="18"/>
        <w:szCs w:val="18"/>
      </w:rPr>
    </w:pPr>
    <w:r>
      <w:rPr>
        <w:rFonts w:ascii="Calibri" w:eastAsia="Calibri" w:hAnsi="Calibri" w:cs="Calibri"/>
        <w:sz w:val="18"/>
        <w:szCs w:val="18"/>
      </w:rPr>
      <w:t>Copyright © 2017, Dr. Cynthia Conn, Dr. Suzanne Pieper, &amp; Dr. Kathy Bohan, Northern Arizona University</w:t>
    </w:r>
    <w:r>
      <w:rPr>
        <w:rFonts w:ascii="Calibri" w:eastAsia="Calibri" w:hAnsi="Calibri" w:cs="Calibri"/>
        <w:sz w:val="18"/>
        <w:szCs w:val="18"/>
      </w:rPr>
      <w:br/>
      <w:t>Do not reprint or post without permission from the authors.</w:t>
    </w:r>
  </w:p>
  <w:p w14:paraId="7EA9FAFE" w14:textId="77777777" w:rsidR="00880A04" w:rsidRDefault="00880A04" w:rsidP="00880A04">
    <w:pPr>
      <w:pStyle w:val="Header"/>
    </w:pPr>
    <w:r>
      <w:rPr>
        <w:rFonts w:ascii="Calibri" w:eastAsia="Calibri" w:hAnsi="Calibri" w:cs="Calibri"/>
        <w:sz w:val="18"/>
        <w:szCs w:val="18"/>
      </w:rPr>
      <w:t xml:space="preserve">This instrument can be accessed online: </w:t>
    </w:r>
    <w:hyperlink r:id="rId1">
      <w:r>
        <w:rPr>
          <w:rFonts w:ascii="Calibri" w:eastAsia="Calibri" w:hAnsi="Calibri" w:cs="Calibri"/>
          <w:color w:val="1155CC"/>
          <w:sz w:val="18"/>
          <w:szCs w:val="18"/>
          <w:u w:val="single"/>
        </w:rPr>
        <w:t>https://nau.edu/Provost/PEP/Quality-Assurance-System/</w:t>
      </w:r>
    </w:hyperlink>
  </w:p>
  <w:sdt>
    <w:sdtPr>
      <w:id w:val="-1843689705"/>
      <w:docPartObj>
        <w:docPartGallery w:val="Page Numbers (Bottom of Page)"/>
        <w:docPartUnique/>
      </w:docPartObj>
    </w:sdtPr>
    <w:sdtEndPr>
      <w:rPr>
        <w:noProof/>
      </w:rPr>
    </w:sdtEndPr>
    <w:sdtContent>
      <w:p w14:paraId="650B6E35" w14:textId="5A0ED01E" w:rsidR="00880A04" w:rsidRDefault="00880A04" w:rsidP="00880A04">
        <w:pPr>
          <w:pStyle w:val="Footer"/>
          <w:jc w:val="right"/>
        </w:pPr>
        <w:r>
          <w:fldChar w:fldCharType="begin"/>
        </w:r>
        <w:r>
          <w:instrText xml:space="preserve"> PAGE   \* MERGEFORMAT </w:instrText>
        </w:r>
        <w:r>
          <w:fldChar w:fldCharType="separate"/>
        </w:r>
        <w:r w:rsidR="004F5B8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30E7" w14:textId="77777777" w:rsidR="00880A04" w:rsidRDefault="00880A04" w:rsidP="00880A04">
      <w:pPr>
        <w:spacing w:after="0" w:line="240" w:lineRule="auto"/>
      </w:pPr>
      <w:r>
        <w:separator/>
      </w:r>
    </w:p>
  </w:footnote>
  <w:footnote w:type="continuationSeparator" w:id="0">
    <w:p w14:paraId="2C5286F0" w14:textId="77777777" w:rsidR="00880A04" w:rsidRDefault="00880A04" w:rsidP="00880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57C80" w14:textId="6F02BE35" w:rsidR="00880A04" w:rsidRDefault="00880A04">
    <w:pPr>
      <w:pStyle w:val="Header"/>
    </w:pPr>
    <w:r>
      <w:rPr>
        <w:rFonts w:ascii="Cambria" w:eastAsia="Cambria" w:hAnsi="Cambria" w:cs="Cambria"/>
        <w:noProof/>
      </w:rPr>
      <w:drawing>
        <wp:inline distT="114300" distB="114300" distL="114300" distR="114300" wp14:anchorId="5747DD9B" wp14:editId="7B0D61F1">
          <wp:extent cx="2681288" cy="986511"/>
          <wp:effectExtent l="0" t="0" r="0" b="0"/>
          <wp:docPr id="1" name="image2.png" descr="thumbnail_NAU_primary_281.png"/>
          <wp:cNvGraphicFramePr/>
          <a:graphic xmlns:a="http://schemas.openxmlformats.org/drawingml/2006/main">
            <a:graphicData uri="http://schemas.openxmlformats.org/drawingml/2006/picture">
              <pic:pic xmlns:pic="http://schemas.openxmlformats.org/drawingml/2006/picture">
                <pic:nvPicPr>
                  <pic:cNvPr id="0" name="image2.png" descr="thumbnail_NAU_primary_281.png"/>
                  <pic:cNvPicPr preferRelativeResize="0"/>
                </pic:nvPicPr>
                <pic:blipFill>
                  <a:blip r:embed="rId1"/>
                  <a:srcRect/>
                  <a:stretch>
                    <a:fillRect/>
                  </a:stretch>
                </pic:blipFill>
                <pic:spPr>
                  <a:xfrm>
                    <a:off x="0" y="0"/>
                    <a:ext cx="2681288" cy="986511"/>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0E7C"/>
    <w:multiLevelType w:val="hybridMultilevel"/>
    <w:tmpl w:val="EF983C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6C7447"/>
    <w:multiLevelType w:val="hybridMultilevel"/>
    <w:tmpl w:val="245886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DB367B"/>
    <w:multiLevelType w:val="hybridMultilevel"/>
    <w:tmpl w:val="0D421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B3AB3"/>
    <w:multiLevelType w:val="hybridMultilevel"/>
    <w:tmpl w:val="9A1458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4142FA"/>
    <w:multiLevelType w:val="hybridMultilevel"/>
    <w:tmpl w:val="60F40D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1D"/>
    <w:rsid w:val="00003EE4"/>
    <w:rsid w:val="000A147F"/>
    <w:rsid w:val="000C51E4"/>
    <w:rsid w:val="0011626C"/>
    <w:rsid w:val="00132E84"/>
    <w:rsid w:val="001406E0"/>
    <w:rsid w:val="00147628"/>
    <w:rsid w:val="00196020"/>
    <w:rsid w:val="0026706D"/>
    <w:rsid w:val="00290B9E"/>
    <w:rsid w:val="00291FEA"/>
    <w:rsid w:val="00335B67"/>
    <w:rsid w:val="00345E20"/>
    <w:rsid w:val="00391D5A"/>
    <w:rsid w:val="003C68ED"/>
    <w:rsid w:val="004407E7"/>
    <w:rsid w:val="00473CE0"/>
    <w:rsid w:val="004B2741"/>
    <w:rsid w:val="004C65E3"/>
    <w:rsid w:val="004D2141"/>
    <w:rsid w:val="004F5B88"/>
    <w:rsid w:val="005E215E"/>
    <w:rsid w:val="00632941"/>
    <w:rsid w:val="00641EDD"/>
    <w:rsid w:val="006C43B7"/>
    <w:rsid w:val="006E185F"/>
    <w:rsid w:val="00735759"/>
    <w:rsid w:val="00880A04"/>
    <w:rsid w:val="00885DD2"/>
    <w:rsid w:val="008C6B22"/>
    <w:rsid w:val="00920330"/>
    <w:rsid w:val="00A306DB"/>
    <w:rsid w:val="00AA5E1D"/>
    <w:rsid w:val="00AB182B"/>
    <w:rsid w:val="00AC2AEF"/>
    <w:rsid w:val="00B02F56"/>
    <w:rsid w:val="00B042B7"/>
    <w:rsid w:val="00B173E3"/>
    <w:rsid w:val="00BD007B"/>
    <w:rsid w:val="00CE3F0B"/>
    <w:rsid w:val="00CF1ED3"/>
    <w:rsid w:val="00CF3645"/>
    <w:rsid w:val="00D64CF6"/>
    <w:rsid w:val="00E06A97"/>
    <w:rsid w:val="00EF27F2"/>
    <w:rsid w:val="00EF5533"/>
    <w:rsid w:val="00F07EB6"/>
    <w:rsid w:val="00F41297"/>
    <w:rsid w:val="00F6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94AF"/>
  <w15:chartTrackingRefBased/>
  <w15:docId w15:val="{7CA60ED9-7C73-4ABB-BA79-9E813398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E1D"/>
    <w:pPr>
      <w:spacing w:after="160" w:line="259" w:lineRule="auto"/>
      <w:ind w:left="720"/>
      <w:contextualSpacing/>
    </w:pPr>
  </w:style>
  <w:style w:type="character" w:styleId="CommentReference">
    <w:name w:val="annotation reference"/>
    <w:basedOn w:val="DefaultParagraphFont"/>
    <w:uiPriority w:val="99"/>
    <w:semiHidden/>
    <w:unhideWhenUsed/>
    <w:rsid w:val="005E215E"/>
    <w:rPr>
      <w:sz w:val="16"/>
      <w:szCs w:val="16"/>
    </w:rPr>
  </w:style>
  <w:style w:type="paragraph" w:styleId="CommentText">
    <w:name w:val="annotation text"/>
    <w:basedOn w:val="Normal"/>
    <w:link w:val="CommentTextChar"/>
    <w:uiPriority w:val="99"/>
    <w:semiHidden/>
    <w:unhideWhenUsed/>
    <w:rsid w:val="005E215E"/>
    <w:pPr>
      <w:spacing w:line="240" w:lineRule="auto"/>
    </w:pPr>
    <w:rPr>
      <w:sz w:val="20"/>
      <w:szCs w:val="20"/>
    </w:rPr>
  </w:style>
  <w:style w:type="character" w:customStyle="1" w:styleId="CommentTextChar">
    <w:name w:val="Comment Text Char"/>
    <w:basedOn w:val="DefaultParagraphFont"/>
    <w:link w:val="CommentText"/>
    <w:uiPriority w:val="99"/>
    <w:semiHidden/>
    <w:rsid w:val="005E215E"/>
    <w:rPr>
      <w:sz w:val="20"/>
      <w:szCs w:val="20"/>
    </w:rPr>
  </w:style>
  <w:style w:type="paragraph" w:styleId="CommentSubject">
    <w:name w:val="annotation subject"/>
    <w:basedOn w:val="CommentText"/>
    <w:next w:val="CommentText"/>
    <w:link w:val="CommentSubjectChar"/>
    <w:uiPriority w:val="99"/>
    <w:semiHidden/>
    <w:unhideWhenUsed/>
    <w:rsid w:val="005E215E"/>
    <w:rPr>
      <w:b/>
      <w:bCs/>
    </w:rPr>
  </w:style>
  <w:style w:type="character" w:customStyle="1" w:styleId="CommentSubjectChar">
    <w:name w:val="Comment Subject Char"/>
    <w:basedOn w:val="CommentTextChar"/>
    <w:link w:val="CommentSubject"/>
    <w:uiPriority w:val="99"/>
    <w:semiHidden/>
    <w:rsid w:val="005E215E"/>
    <w:rPr>
      <w:b/>
      <w:bCs/>
      <w:sz w:val="20"/>
      <w:szCs w:val="20"/>
    </w:rPr>
  </w:style>
  <w:style w:type="paragraph" w:styleId="BalloonText">
    <w:name w:val="Balloon Text"/>
    <w:basedOn w:val="Normal"/>
    <w:link w:val="BalloonTextChar"/>
    <w:uiPriority w:val="99"/>
    <w:semiHidden/>
    <w:unhideWhenUsed/>
    <w:rsid w:val="005E2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5E"/>
    <w:rPr>
      <w:rFonts w:ascii="Segoe UI" w:hAnsi="Segoe UI" w:cs="Segoe UI"/>
      <w:sz w:val="18"/>
      <w:szCs w:val="18"/>
    </w:rPr>
  </w:style>
  <w:style w:type="paragraph" w:styleId="Header">
    <w:name w:val="header"/>
    <w:basedOn w:val="Normal"/>
    <w:link w:val="HeaderChar"/>
    <w:uiPriority w:val="99"/>
    <w:unhideWhenUsed/>
    <w:rsid w:val="00880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A04"/>
  </w:style>
  <w:style w:type="paragraph" w:styleId="Footer">
    <w:name w:val="footer"/>
    <w:basedOn w:val="Normal"/>
    <w:link w:val="FooterChar"/>
    <w:uiPriority w:val="99"/>
    <w:unhideWhenUsed/>
    <w:rsid w:val="00880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A04"/>
  </w:style>
  <w:style w:type="character" w:styleId="Hyperlink">
    <w:name w:val="Hyperlink"/>
    <w:basedOn w:val="DefaultParagraphFont"/>
    <w:uiPriority w:val="99"/>
    <w:unhideWhenUsed/>
    <w:rsid w:val="004C65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nau.edu/Provost/PEP/Quality-Assurance-Syste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au.edu/Provost/PEP/Quality-Assurance-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J Bohan</dc:creator>
  <cp:keywords/>
  <dc:description/>
  <cp:lastModifiedBy>Cynthia Conn</cp:lastModifiedBy>
  <cp:revision>2</cp:revision>
  <dcterms:created xsi:type="dcterms:W3CDTF">2017-11-04T21:15:00Z</dcterms:created>
  <dcterms:modified xsi:type="dcterms:W3CDTF">2017-11-04T21:15:00Z</dcterms:modified>
</cp:coreProperties>
</file>