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119CBEF7" wp14:editId="4556D27C">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2ED5C733" wp14:editId="5A47B56F">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8A538D" w:rsidRDefault="003813D7" w:rsidP="00AE33E0">
      <w:pPr>
        <w:spacing w:after="0" w:line="240" w:lineRule="auto"/>
        <w:rPr>
          <w:rFonts w:ascii="Times New Roman" w:hAnsi="Times New Roman" w:cs="Times New Roman"/>
        </w:rPr>
      </w:pPr>
      <w:r>
        <w:rPr>
          <w:rFonts w:ascii="Times New Roman" w:hAnsi="Times New Roman" w:cs="Times New Roman"/>
          <w:b/>
        </w:rPr>
        <w:t>Award</w:t>
      </w:r>
      <w:r w:rsidR="00F20993" w:rsidRPr="00F20993">
        <w:rPr>
          <w:rFonts w:ascii="Times New Roman" w:hAnsi="Times New Roman" w:cs="Times New Roman"/>
          <w:b/>
        </w:rPr>
        <w:t xml:space="preserve"> Number</w:t>
      </w:r>
      <w:r w:rsidR="00F20993">
        <w:rPr>
          <w:rFonts w:ascii="Times New Roman" w:hAnsi="Times New Roman" w:cs="Times New Roman"/>
        </w:rPr>
        <w:t xml:space="preserve">:  </w:t>
      </w:r>
      <w:r>
        <w:rPr>
          <w:rFonts w:ascii="Times New Roman" w:hAnsi="Times New Roman" w:cs="Times New Roman"/>
        </w:rPr>
        <w:t>P14AC01015</w:t>
      </w:r>
    </w:p>
    <w:p w:rsidR="003813D7" w:rsidRDefault="003813D7" w:rsidP="00AE33E0">
      <w:pPr>
        <w:spacing w:after="0" w:line="240" w:lineRule="auto"/>
        <w:rPr>
          <w:rFonts w:ascii="Times New Roman" w:hAnsi="Times New Roman" w:cs="Times New Roman"/>
        </w:rPr>
      </w:pPr>
      <w:r w:rsidRPr="003813D7">
        <w:rPr>
          <w:rFonts w:ascii="Times New Roman" w:hAnsi="Times New Roman" w:cs="Times New Roman"/>
          <w:b/>
        </w:rPr>
        <w:t>Project Number</w:t>
      </w:r>
      <w:r>
        <w:rPr>
          <w:rFonts w:ascii="Times New Roman" w:hAnsi="Times New Roman" w:cs="Times New Roman"/>
        </w:rPr>
        <w:t>:  UNM-105</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5903D5">
        <w:rPr>
          <w:rFonts w:ascii="Times New Roman" w:hAnsi="Times New Roman" w:cs="Times New Roman"/>
          <w:b/>
        </w:rPr>
        <w:t xml:space="preserve">  </w:t>
      </w:r>
    </w:p>
    <w:p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5903D5">
        <w:rPr>
          <w:rFonts w:ascii="Times New Roman" w:hAnsi="Times New Roman" w:cs="Times New Roman"/>
          <w:b/>
        </w:rPr>
        <w:t xml:space="preserve">  IMR Inventory and Documentation of Historic Structures for the LCS</w:t>
      </w:r>
      <w:r w:rsidR="004126E7">
        <w:rPr>
          <w:rFonts w:ascii="Times New Roman" w:hAnsi="Times New Roman" w:cs="Times New Roman"/>
          <w:b/>
        </w:rPr>
        <w:t>, Year 2</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A02504">
        <w:rPr>
          <w:rFonts w:ascii="Times New Roman" w:hAnsi="Times New Roman" w:cs="Times New Roman"/>
          <w:b/>
        </w:rPr>
        <w:t xml:space="preserve">  University of New Mexico </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A02504">
        <w:rPr>
          <w:rFonts w:ascii="Times New Roman" w:hAnsi="Times New Roman" w:cs="Times New Roman"/>
        </w:rPr>
        <w:t xml:space="preserve">Dr. Roger </w:t>
      </w:r>
      <w:proofErr w:type="spellStart"/>
      <w:r w:rsidR="00A02504">
        <w:rPr>
          <w:rFonts w:ascii="Times New Roman" w:hAnsi="Times New Roman" w:cs="Times New Roman"/>
        </w:rPr>
        <w:t>Schluntz</w:t>
      </w:r>
      <w:proofErr w:type="spellEnd"/>
      <w:r w:rsidRPr="003C3D5C">
        <w:rPr>
          <w:rFonts w:ascii="Times New Roman" w:hAnsi="Times New Roman" w:cs="Times New Roman"/>
          <w:i/>
        </w:rPr>
        <w:t xml:space="preserve">, </w:t>
      </w:r>
      <w:r w:rsidR="00A02504">
        <w:rPr>
          <w:rFonts w:ascii="Times New Roman" w:hAnsi="Times New Roman" w:cs="Times New Roman"/>
          <w:i/>
        </w:rPr>
        <w:t>School of Architecture and Planning. University of New Mexico</w:t>
      </w:r>
      <w:r w:rsidRPr="003C3D5C">
        <w:rPr>
          <w:rFonts w:ascii="Times New Roman" w:hAnsi="Times New Roman" w:cs="Times New Roman"/>
          <w:i/>
        </w:rPr>
        <w:t xml:space="preserve">, </w:t>
      </w:r>
      <w:r w:rsidR="00A02504">
        <w:rPr>
          <w:rFonts w:ascii="Times New Roman" w:hAnsi="Times New Roman" w:cs="Times New Roman"/>
          <w:i/>
        </w:rPr>
        <w:t>505-277-</w:t>
      </w:r>
      <w:r w:rsidR="00B64BAC">
        <w:rPr>
          <w:rFonts w:ascii="Times New Roman" w:hAnsi="Times New Roman" w:cs="Times New Roman"/>
          <w:i/>
        </w:rPr>
        <w:t>7300,</w:t>
      </w:r>
      <w:r w:rsidR="00A02504">
        <w:rPr>
          <w:rFonts w:ascii="Times New Roman" w:hAnsi="Times New Roman" w:cs="Times New Roman"/>
          <w:i/>
        </w:rPr>
        <w:t xml:space="preserve"> 505-277-2879 (Sec), 505-277-0897 (Fax)</w:t>
      </w:r>
      <w:r w:rsidRPr="003C3D5C">
        <w:rPr>
          <w:rFonts w:ascii="Times New Roman" w:hAnsi="Times New Roman" w:cs="Times New Roman"/>
          <w:i/>
        </w:rPr>
        <w:t>,</w:t>
      </w:r>
      <w:r w:rsidR="00A02504">
        <w:rPr>
          <w:rFonts w:ascii="Times New Roman" w:hAnsi="Times New Roman" w:cs="Times New Roman"/>
          <w:i/>
        </w:rPr>
        <w:t xml:space="preserve"> (schluntz@unm.edu)</w:t>
      </w:r>
    </w:p>
    <w:p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B64BAC">
        <w:rPr>
          <w:rFonts w:ascii="Times New Roman" w:hAnsi="Times New Roman" w:cs="Times New Roman"/>
          <w:i/>
        </w:rPr>
        <w:t xml:space="preserve">Shannon Carr, Contract and Grant Administrator </w:t>
      </w:r>
      <w:proofErr w:type="spellStart"/>
      <w:r w:rsidR="00B64BAC">
        <w:rPr>
          <w:rFonts w:ascii="Times New Roman" w:hAnsi="Times New Roman" w:cs="Times New Roman"/>
          <w:i/>
        </w:rPr>
        <w:t>PreAward</w:t>
      </w:r>
      <w:proofErr w:type="spellEnd"/>
      <w:r w:rsidR="00B64BAC">
        <w:rPr>
          <w:rFonts w:ascii="Times New Roman" w:hAnsi="Times New Roman" w:cs="Times New Roman"/>
          <w:i/>
        </w:rPr>
        <w:t xml:space="preserve"> Services-Main, 1700 Loams Blvd. NE </w:t>
      </w:r>
      <w:proofErr w:type="spellStart"/>
      <w:r w:rsidR="00B64BAC">
        <w:rPr>
          <w:rFonts w:ascii="Times New Roman" w:hAnsi="Times New Roman" w:cs="Times New Roman"/>
          <w:i/>
        </w:rPr>
        <w:t>Ste</w:t>
      </w:r>
      <w:proofErr w:type="spellEnd"/>
      <w:r w:rsidR="00B64BAC">
        <w:rPr>
          <w:rFonts w:ascii="Times New Roman" w:hAnsi="Times New Roman" w:cs="Times New Roman"/>
          <w:i/>
        </w:rPr>
        <w:t xml:space="preserve"> 2200, MSC01 1247 Albuquerque, NM  87131-0001, 505-277-1264/FAX 505-277-4185, (</w:t>
      </w:r>
      <w:hyperlink r:id="rId11" w:history="1">
        <w:r w:rsidR="00B64BAC" w:rsidRPr="003F07FF">
          <w:rPr>
            <w:rStyle w:val="Hyperlink"/>
            <w:rFonts w:ascii="Times New Roman" w:hAnsi="Times New Roman" w:cs="Times New Roman"/>
            <w:i/>
          </w:rPr>
          <w:t>scarr2@unm.edu</w:t>
        </w:r>
      </w:hyperlink>
      <w:r w:rsidR="00B64BAC">
        <w:rPr>
          <w:rFonts w:ascii="Times New Roman" w:hAnsi="Times New Roman" w:cs="Times New Roman"/>
          <w:i/>
        </w:rPr>
        <w:t xml:space="preserve">)  </w:t>
      </w:r>
    </w:p>
    <w:p w:rsidR="00B64BAC" w:rsidRDefault="00677FB8" w:rsidP="00677FB8">
      <w:pPr>
        <w:spacing w:after="0" w:line="240" w:lineRule="auto"/>
        <w:rPr>
          <w:rFonts w:ascii="Times New Roman" w:hAnsi="Times New Roman" w:cs="Times New Roman"/>
        </w:rPr>
      </w:pPr>
      <w:r w:rsidRPr="00787E2E">
        <w:rPr>
          <w:rFonts w:ascii="Times New Roman" w:hAnsi="Times New Roman" w:cs="Times New Roman"/>
          <w:b/>
        </w:rPr>
        <w:t xml:space="preserve">NPS Certified ATR:  </w:t>
      </w:r>
      <w:r w:rsidR="00B64BAC" w:rsidRPr="00B64BAC">
        <w:rPr>
          <w:rFonts w:ascii="Times New Roman" w:hAnsi="Times New Roman" w:cs="Times New Roman"/>
        </w:rPr>
        <w:t>Bonnie S. Houston</w:t>
      </w:r>
      <w:r w:rsidR="00B64BAC">
        <w:rPr>
          <w:rFonts w:ascii="Times New Roman" w:hAnsi="Times New Roman" w:cs="Times New Roman"/>
        </w:rPr>
        <w:t>, Regional LCS Coordinator, National Park Service-CRM, PO Box 728 Santa Fe, NM 87506, 505-988-6763, 505-988-5202 (FAX), (</w:t>
      </w:r>
      <w:hyperlink r:id="rId12" w:history="1">
        <w:r w:rsidR="00B64BAC" w:rsidRPr="003F07FF">
          <w:rPr>
            <w:rStyle w:val="Hyperlink"/>
            <w:rFonts w:ascii="Times New Roman" w:hAnsi="Times New Roman" w:cs="Times New Roman"/>
          </w:rPr>
          <w:t>Bonnie_Houston@nps.gov</w:t>
        </w:r>
      </w:hyperlink>
      <w:r w:rsidR="00B64BAC">
        <w:rPr>
          <w:rFonts w:ascii="Times New Roman" w:hAnsi="Times New Roman" w:cs="Times New Roman"/>
        </w:rPr>
        <w:t xml:space="preserve">)  </w:t>
      </w:r>
    </w:p>
    <w:p w:rsidR="00B64BAC" w:rsidRDefault="00677FB8" w:rsidP="00B64BAC">
      <w:pPr>
        <w:spacing w:after="0" w:line="240" w:lineRule="auto"/>
        <w:rPr>
          <w:rFonts w:ascii="Times New Roman" w:hAnsi="Times New Roman" w:cs="Times New Roman"/>
        </w:rPr>
      </w:pPr>
      <w:r w:rsidRPr="00787E2E">
        <w:rPr>
          <w:rFonts w:ascii="Times New Roman" w:hAnsi="Times New Roman" w:cs="Times New Roman"/>
          <w:b/>
        </w:rPr>
        <w:t>NPS Technical Expert:</w:t>
      </w:r>
      <w:r w:rsidRPr="00787E2E">
        <w:rPr>
          <w:rFonts w:ascii="Times New Roman" w:hAnsi="Times New Roman" w:cs="Times New Roman"/>
        </w:rPr>
        <w:t xml:space="preserve"> </w:t>
      </w:r>
      <w:r w:rsidR="00B64BAC" w:rsidRPr="00B64BAC">
        <w:rPr>
          <w:rFonts w:ascii="Times New Roman" w:hAnsi="Times New Roman" w:cs="Times New Roman"/>
        </w:rPr>
        <w:t>Bonnie S. Houston</w:t>
      </w:r>
      <w:r w:rsidR="00B64BAC">
        <w:rPr>
          <w:rFonts w:ascii="Times New Roman" w:hAnsi="Times New Roman" w:cs="Times New Roman"/>
        </w:rPr>
        <w:t>, Regional LCS Coordinator, National Park Service-CRM, PO Box 728 Santa Fe, NM 87506, 505-988-6763, 505-988-5202 (FAX), (</w:t>
      </w:r>
      <w:hyperlink r:id="rId13" w:history="1">
        <w:r w:rsidR="00B64BAC" w:rsidRPr="003F07FF">
          <w:rPr>
            <w:rStyle w:val="Hyperlink"/>
            <w:rFonts w:ascii="Times New Roman" w:hAnsi="Times New Roman" w:cs="Times New Roman"/>
          </w:rPr>
          <w:t>Bonnie_Houston@nps.gov</w:t>
        </w:r>
      </w:hyperlink>
      <w:r w:rsidR="00B64BAC">
        <w:rPr>
          <w:rFonts w:ascii="Times New Roman" w:hAnsi="Times New Roman" w:cs="Times New Roman"/>
        </w:rPr>
        <w:t xml:space="preserve">)  </w:t>
      </w:r>
    </w:p>
    <w:p w:rsidR="00B64BAC" w:rsidRDefault="00B64BAC" w:rsidP="00AE33E0">
      <w:pPr>
        <w:spacing w:after="0" w:line="240" w:lineRule="auto"/>
        <w:rPr>
          <w:rFonts w:ascii="Times New Roman" w:hAnsi="Times New Roman" w:cs="Times New Roman"/>
          <w:b/>
          <w:u w:val="single"/>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B64BAC">
        <w:rPr>
          <w:rFonts w:ascii="Times New Roman" w:hAnsi="Times New Roman" w:cs="Times New Roman"/>
          <w:b/>
        </w:rPr>
        <w:t xml:space="preserve">  $31, 80</w:t>
      </w:r>
      <w:r w:rsidR="00364106">
        <w:rPr>
          <w:rFonts w:ascii="Times New Roman" w:hAnsi="Times New Roman" w:cs="Times New Roman"/>
          <w:b/>
        </w:rPr>
        <w:t>8</w:t>
      </w:r>
    </w:p>
    <w:p w:rsidR="00B64BAC" w:rsidRPr="00B64BAC" w:rsidRDefault="00CA61C8" w:rsidP="00AE33E0">
      <w:pPr>
        <w:spacing w:after="0" w:line="240" w:lineRule="auto"/>
        <w:rPr>
          <w:rFonts w:ascii="Times New Roman" w:hAnsi="Times New Roman" w:cs="Times New Roman"/>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B64BAC">
        <w:rPr>
          <w:rFonts w:ascii="Times New Roman" w:hAnsi="Times New Roman" w:cs="Times New Roman"/>
          <w:b/>
        </w:rPr>
        <w:t xml:space="preserve"> </w:t>
      </w:r>
    </w:p>
    <w:tbl>
      <w:tblPr>
        <w:tblW w:w="8420" w:type="dxa"/>
        <w:shd w:val="clear" w:color="auto" w:fill="FFFFFF"/>
        <w:tblCellMar>
          <w:left w:w="0" w:type="dxa"/>
          <w:right w:w="0" w:type="dxa"/>
        </w:tblCellMar>
        <w:tblLook w:val="04A0" w:firstRow="1" w:lastRow="0" w:firstColumn="1" w:lastColumn="0" w:noHBand="0" w:noVBand="1"/>
      </w:tblPr>
      <w:tblGrid>
        <w:gridCol w:w="2320"/>
        <w:gridCol w:w="3060"/>
        <w:gridCol w:w="3040"/>
      </w:tblGrid>
      <w:tr w:rsidR="00B64BAC" w:rsidRPr="00B64BAC" w:rsidTr="00716331">
        <w:trPr>
          <w:trHeight w:val="408"/>
        </w:trPr>
        <w:tc>
          <w:tcPr>
            <w:tcW w:w="2320" w:type="dxa"/>
            <w:shd w:val="clear" w:color="auto" w:fill="FFFFFF"/>
            <w:vAlign w:val="center"/>
          </w:tcPr>
          <w:p w:rsidR="00B64BAC" w:rsidRPr="00B64BAC" w:rsidRDefault="00B64BAC" w:rsidP="00B64BAC">
            <w:pPr>
              <w:spacing w:after="0" w:line="240" w:lineRule="auto"/>
              <w:rPr>
                <w:rFonts w:ascii="Arial" w:eastAsia="Times New Roman" w:hAnsi="Arial" w:cs="Arial"/>
                <w:color w:val="222222"/>
                <w:sz w:val="20"/>
                <w:szCs w:val="20"/>
              </w:rPr>
            </w:pPr>
          </w:p>
        </w:tc>
        <w:tc>
          <w:tcPr>
            <w:tcW w:w="3060" w:type="dxa"/>
            <w:tcBorders>
              <w:left w:val="nil"/>
            </w:tcBorders>
            <w:shd w:val="clear" w:color="auto" w:fill="FFFFFF"/>
            <w:vAlign w:val="center"/>
          </w:tcPr>
          <w:p w:rsidR="00B64BAC" w:rsidRPr="00B64BAC" w:rsidRDefault="00B64BAC" w:rsidP="00B64BAC">
            <w:pPr>
              <w:spacing w:after="0" w:line="240" w:lineRule="auto"/>
              <w:rPr>
                <w:rFonts w:ascii="Arial" w:eastAsia="Times New Roman" w:hAnsi="Arial" w:cs="Arial"/>
                <w:color w:val="222222"/>
                <w:sz w:val="20"/>
                <w:szCs w:val="20"/>
              </w:rPr>
            </w:pPr>
          </w:p>
        </w:tc>
        <w:tc>
          <w:tcPr>
            <w:tcW w:w="3040" w:type="dxa"/>
            <w:tcBorders>
              <w:left w:val="nil"/>
            </w:tcBorders>
            <w:shd w:val="clear" w:color="auto" w:fill="FFFFFF"/>
            <w:vAlign w:val="center"/>
          </w:tcPr>
          <w:p w:rsidR="00B64BAC" w:rsidRPr="00B64BAC" w:rsidRDefault="00B64BAC" w:rsidP="00B64BAC">
            <w:pPr>
              <w:spacing w:after="0" w:line="240" w:lineRule="auto"/>
              <w:rPr>
                <w:rFonts w:ascii="Arial" w:eastAsia="Times New Roman" w:hAnsi="Arial" w:cs="Arial"/>
                <w:color w:val="222222"/>
                <w:sz w:val="20"/>
                <w:szCs w:val="20"/>
              </w:rPr>
            </w:pPr>
          </w:p>
        </w:tc>
      </w:tr>
      <w:tr w:rsidR="00716331" w:rsidRPr="00716331" w:rsidTr="00716331">
        <w:trPr>
          <w:trHeight w:val="408"/>
        </w:trPr>
        <w:tc>
          <w:tcPr>
            <w:tcW w:w="2320" w:type="dxa"/>
            <w:shd w:val="clear" w:color="auto" w:fill="FFFFFF"/>
            <w:vAlign w:val="center"/>
            <w:hideMark/>
          </w:tcPr>
          <w:p w:rsidR="00716331" w:rsidRPr="00716331" w:rsidRDefault="00716331" w:rsidP="00716331">
            <w:pPr>
              <w:spacing w:after="0" w:line="240" w:lineRule="auto"/>
              <w:rPr>
                <w:rFonts w:ascii="Arial" w:eastAsia="Times New Roman" w:hAnsi="Arial" w:cs="Arial"/>
                <w:color w:val="222222"/>
                <w:sz w:val="20"/>
                <w:szCs w:val="20"/>
              </w:rPr>
            </w:pPr>
            <w:r w:rsidRPr="00716331">
              <w:rPr>
                <w:rFonts w:ascii="Arial" w:eastAsia="Times New Roman" w:hAnsi="Arial" w:cs="Arial"/>
                <w:color w:val="222222"/>
                <w:sz w:val="20"/>
                <w:szCs w:val="20"/>
              </w:rPr>
              <w:t>PPIMIMRO3K</w:t>
            </w:r>
          </w:p>
        </w:tc>
        <w:tc>
          <w:tcPr>
            <w:tcW w:w="3060" w:type="dxa"/>
            <w:tcBorders>
              <w:left w:val="nil"/>
            </w:tcBorders>
            <w:shd w:val="clear" w:color="auto" w:fill="FFFFFF"/>
            <w:vAlign w:val="center"/>
            <w:hideMark/>
          </w:tcPr>
          <w:p w:rsidR="00716331" w:rsidRPr="00716331" w:rsidRDefault="00716331" w:rsidP="00716331">
            <w:pPr>
              <w:spacing w:after="0" w:line="240" w:lineRule="auto"/>
              <w:rPr>
                <w:rFonts w:ascii="Arial" w:eastAsia="Times New Roman" w:hAnsi="Arial" w:cs="Arial"/>
                <w:color w:val="222222"/>
                <w:sz w:val="20"/>
                <w:szCs w:val="20"/>
              </w:rPr>
            </w:pPr>
            <w:r w:rsidRPr="00716331">
              <w:rPr>
                <w:rFonts w:ascii="Arial" w:eastAsia="Times New Roman" w:hAnsi="Arial" w:cs="Arial"/>
                <w:color w:val="222222"/>
                <w:sz w:val="20"/>
                <w:szCs w:val="20"/>
              </w:rPr>
              <w:t>PPMRSCR1C.C00000</w:t>
            </w:r>
          </w:p>
        </w:tc>
        <w:tc>
          <w:tcPr>
            <w:tcW w:w="3040" w:type="dxa"/>
            <w:tcBorders>
              <w:left w:val="nil"/>
            </w:tcBorders>
            <w:shd w:val="clear" w:color="auto" w:fill="FFFFFF"/>
            <w:vAlign w:val="center"/>
            <w:hideMark/>
          </w:tcPr>
          <w:p w:rsidR="00716331" w:rsidRPr="00716331" w:rsidRDefault="00716331" w:rsidP="00716331">
            <w:pPr>
              <w:spacing w:after="0" w:line="240" w:lineRule="auto"/>
              <w:rPr>
                <w:rFonts w:ascii="Arial" w:eastAsia="Times New Roman" w:hAnsi="Arial" w:cs="Arial"/>
                <w:color w:val="222222"/>
                <w:sz w:val="20"/>
                <w:szCs w:val="20"/>
              </w:rPr>
            </w:pPr>
            <w:r w:rsidRPr="00716331">
              <w:rPr>
                <w:rFonts w:ascii="Arial" w:eastAsia="Times New Roman" w:hAnsi="Arial" w:cs="Arial"/>
                <w:color w:val="222222"/>
                <w:sz w:val="20"/>
                <w:szCs w:val="20"/>
              </w:rPr>
              <w:t>PX.P0077765L.00.1</w:t>
            </w:r>
          </w:p>
        </w:tc>
      </w:tr>
    </w:tbl>
    <w:p w:rsidR="00CA61C8" w:rsidRPr="00B64BAC" w:rsidRDefault="00CA61C8" w:rsidP="00AE33E0">
      <w:pPr>
        <w:spacing w:after="0" w:line="240" w:lineRule="auto"/>
        <w:rPr>
          <w:rFonts w:ascii="Times New Roman" w:hAnsi="Times New Roman" w:cs="Times New Roman"/>
        </w:rPr>
      </w:pP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364106">
        <w:rPr>
          <w:rFonts w:ascii="Times New Roman" w:hAnsi="Times New Roman" w:cs="Times New Roman"/>
          <w:b/>
        </w:rPr>
        <w:t xml:space="preserve"> CRPP </w:t>
      </w:r>
    </w:p>
    <w:bookmarkStart w:id="0"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2541CF">
        <w:rPr>
          <w:rFonts w:ascii="Times New Roman" w:hAnsi="Times New Roman" w:cs="Times New Roman"/>
        </w:rPr>
      </w:r>
      <w:r w:rsidR="002541CF">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2541CF">
        <w:rPr>
          <w:rFonts w:ascii="Times New Roman" w:hAnsi="Times New Roman" w:cs="Times New Roman"/>
        </w:rPr>
      </w:r>
      <w:r w:rsidR="002541CF">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6474A5" w:rsidRPr="006474A5">
        <w:rPr>
          <w:rFonts w:ascii="Times New Roman" w:hAnsi="Times New Roman" w:cs="Times New Roman"/>
          <w:b/>
          <w:color w:val="FF0000"/>
        </w:rPr>
        <w:t>(Tentative date</w:t>
      </w:r>
      <w:r w:rsidR="00130E41">
        <w:rPr>
          <w:rFonts w:ascii="Times New Roman" w:hAnsi="Times New Roman" w:cs="Times New Roman"/>
          <w:b/>
          <w:color w:val="FF0000"/>
        </w:rPr>
        <w:t>: September 1, 2014</w:t>
      </w:r>
      <w:r w:rsidR="006474A5" w:rsidRPr="006474A5">
        <w:rPr>
          <w:rFonts w:ascii="Times New Roman" w:hAnsi="Times New Roman" w:cs="Times New Roman"/>
          <w:b/>
          <w:color w:val="FF0000"/>
        </w:rPr>
        <w:t>)</w:t>
      </w:r>
    </w:p>
    <w:p w:rsidR="00130E41" w:rsidRDefault="00130E41" w:rsidP="00AE33E0">
      <w:pPr>
        <w:spacing w:after="0" w:line="240" w:lineRule="auto"/>
        <w:rPr>
          <w:rFonts w:ascii="Times New Roman" w:hAnsi="Times New Roman" w:cs="Times New Roman"/>
          <w:b/>
          <w:color w:val="FF0000"/>
        </w:rPr>
      </w:pPr>
      <w:r>
        <w:rPr>
          <w:rFonts w:ascii="Times New Roman" w:hAnsi="Times New Roman" w:cs="Times New Roman"/>
          <w:b/>
          <w:color w:val="FF0000"/>
        </w:rPr>
        <w:t xml:space="preserve">Product milestone date:  October 1, annually </w:t>
      </w:r>
    </w:p>
    <w:p w:rsidR="00364106" w:rsidRDefault="00364106" w:rsidP="00AE33E0">
      <w:pPr>
        <w:spacing w:after="0" w:line="240" w:lineRule="auto"/>
        <w:rPr>
          <w:rFonts w:ascii="Times New Roman" w:hAnsi="Times New Roman" w:cs="Times New Roman"/>
          <w:b/>
          <w:i/>
          <w:u w:val="single"/>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470C85" w:rsidRDefault="00CA61C8" w:rsidP="00470C85">
      <w:pPr>
        <w:spacing w:after="0" w:line="240" w:lineRule="auto"/>
        <w:rPr>
          <w:rFonts w:ascii="Times New Roman" w:hAnsi="Times New Roman" w:cs="Times New Roman"/>
          <w:b/>
          <w:color w:val="FF0000"/>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p>
    <w:p w:rsidR="00470C85" w:rsidRPr="006474A5" w:rsidRDefault="00470C85" w:rsidP="00470C85">
      <w:pPr>
        <w:spacing w:after="0" w:line="240" w:lineRule="auto"/>
        <w:rPr>
          <w:rFonts w:ascii="Times New Roman" w:hAnsi="Times New Roman" w:cs="Times New Roman"/>
          <w:b/>
          <w:color w:val="FF0000"/>
        </w:rPr>
      </w:pPr>
      <w:r>
        <w:rPr>
          <w:rFonts w:ascii="Times New Roman" w:hAnsi="Times New Roman" w:cs="Times New Roman"/>
          <w:b/>
          <w:color w:val="FF0000"/>
        </w:rPr>
        <w:t>May 31, 2019</w:t>
      </w:r>
    </w:p>
    <w:p w:rsidR="00364106" w:rsidRDefault="00364106" w:rsidP="00D8787D">
      <w:pPr>
        <w:spacing w:after="0" w:line="240" w:lineRule="auto"/>
        <w:rPr>
          <w:rFonts w:ascii="Times New Roman" w:hAnsi="Times New Roman" w:cs="Times New Roman"/>
          <w:b/>
          <w:u w:val="single"/>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1839C9" w:rsidP="00D8787D">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 xml:space="preserve">CESU Coordinator: </w:t>
      </w:r>
      <w:r>
        <w:rPr>
          <w:rFonts w:ascii="Times New Roman" w:hAnsi="Times New Roman" w:cs="Times New Roman"/>
          <w:b/>
        </w:rPr>
        <w:t>Todd Chaudhry</w:t>
      </w:r>
      <w:r w:rsidR="006632F5" w:rsidRPr="00EC700B">
        <w:rPr>
          <w:rFonts w:ascii="Times New Roman" w:hAnsi="Times New Roman" w:cs="Times New Roman"/>
        </w:rPr>
        <w:t xml:space="preserve">, National Park Service/CPCESU, NAU P.O. Box 5765, Flagstaff, AZ 86011, 928-523-6638, Fax: 928-523-2014; </w:t>
      </w:r>
      <w:hyperlink r:id="rId14" w:history="1">
        <w:r w:rsidR="002541CF" w:rsidRPr="00C3574A">
          <w:rPr>
            <w:rStyle w:val="Hyperlink"/>
            <w:rFonts w:ascii="Times New Roman" w:hAnsi="Times New Roman" w:cs="Times New Roman"/>
          </w:rPr>
          <w:t>todd_chaudhry@nps.gov</w:t>
        </w:r>
      </w:hyperlink>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 Quarterly</w:t>
      </w:r>
      <w:r w:rsidRPr="004E633B">
        <w:rPr>
          <w:color w:val="222222"/>
          <w:sz w:val="22"/>
          <w:szCs w:val="22"/>
          <w:shd w:val="clear" w:color="auto" w:fill="FFFFFF"/>
        </w:rPr>
        <w:tab/>
      </w:r>
      <w:r w:rsidRPr="004E633B">
        <w:rPr>
          <w:color w:val="222222"/>
          <w:sz w:val="22"/>
          <w:szCs w:val="22"/>
          <w:shd w:val="clear" w:color="auto" w:fill="FFFFFF"/>
        </w:rPr>
        <w:tab/>
        <w:t>{ } Semi-annually</w:t>
      </w:r>
      <w:r w:rsidRPr="004E633B">
        <w:rPr>
          <w:color w:val="222222"/>
          <w:sz w:val="22"/>
          <w:szCs w:val="22"/>
          <w:shd w:val="clear" w:color="auto" w:fill="FFFFFF"/>
        </w:rPr>
        <w:tab/>
      </w:r>
      <w:r w:rsidRPr="004E633B">
        <w:rPr>
          <w:color w:val="222222"/>
          <w:sz w:val="22"/>
          <w:szCs w:val="22"/>
          <w:shd w:val="clear" w:color="auto" w:fill="FFFFFF"/>
        </w:rPr>
        <w:tab/>
        <w:t>{</w:t>
      </w:r>
      <w:r w:rsidR="00130E41">
        <w:rPr>
          <w:color w:val="222222"/>
          <w:sz w:val="22"/>
          <w:szCs w:val="22"/>
          <w:shd w:val="clear" w:color="auto" w:fill="FFFFFF"/>
        </w:rPr>
        <w:t>x</w:t>
      </w:r>
      <w:r w:rsidRPr="004E633B">
        <w:rPr>
          <w:color w:val="222222"/>
          <w:sz w:val="22"/>
          <w:szCs w:val="22"/>
          <w:shd w:val="clear" w:color="auto" w:fill="FFFFFF"/>
        </w:rPr>
        <w:t xml:space="preserve"> } Annually</w:t>
      </w:r>
      <w:r w:rsidRPr="004E633B">
        <w:rPr>
          <w:color w:val="222222"/>
          <w:sz w:val="22"/>
          <w:szCs w:val="22"/>
          <w:shd w:val="clear" w:color="auto" w:fill="FFFFFF"/>
        </w:rPr>
        <w:tab/>
      </w:r>
      <w:r w:rsidRPr="004E633B">
        <w:rPr>
          <w:color w:val="222222"/>
          <w:sz w:val="22"/>
          <w:szCs w:val="22"/>
          <w:shd w:val="clear" w:color="auto" w:fill="FFFFFF"/>
        </w:rPr>
        <w:tab/>
      </w:r>
      <w:r w:rsidR="00470C85" w:rsidRPr="004E633B">
        <w:rPr>
          <w:color w:val="222222"/>
          <w:sz w:val="22"/>
          <w:szCs w:val="22"/>
          <w:shd w:val="clear" w:color="auto" w:fill="FFFFFF"/>
        </w:rPr>
        <w:t>{</w:t>
      </w:r>
      <w:r w:rsidR="00470C85">
        <w:rPr>
          <w:color w:val="222222"/>
          <w:sz w:val="22"/>
          <w:szCs w:val="22"/>
          <w:shd w:val="clear" w:color="auto" w:fill="FFFFFF"/>
        </w:rPr>
        <w:t>x</w:t>
      </w:r>
      <w:r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130E41">
        <w:rPr>
          <w:color w:val="000000" w:themeColor="text1"/>
          <w:sz w:val="22"/>
          <w:szCs w:val="22"/>
        </w:rPr>
        <w:t>September 1, 2014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 xml:space="preserve">{ </w:t>
      </w:r>
      <w:r w:rsidR="00130E41">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130E41">
        <w:rPr>
          <w:rFonts w:ascii="Times New Roman" w:hAnsi="Times New Roman" w:cs="Times New Roman"/>
          <w:color w:val="000000" w:themeColor="text1"/>
          <w:sz w:val="22"/>
          <w:szCs w:val="22"/>
        </w:rPr>
        <w:t xml:space="preserve"> October 1 annually</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w:t>
      </w:r>
      <w:r w:rsidR="008F1986">
        <w:rPr>
          <w:rFonts w:ascii="Times New Roman" w:hAnsi="Times New Roman" w:cs="Times New Roman"/>
          <w:color w:val="000000" w:themeColor="text1"/>
          <w:sz w:val="22"/>
          <w:szCs w:val="22"/>
        </w:rPr>
        <w:t>August 30 annually</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8F1986">
        <w:rPr>
          <w:color w:val="000000" w:themeColor="text1"/>
          <w:sz w:val="22"/>
          <w:szCs w:val="22"/>
        </w:rPr>
        <w:t>April 30, 2019</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8F1986">
        <w:rPr>
          <w:color w:val="000000" w:themeColor="text1"/>
          <w:sz w:val="22"/>
          <w:szCs w:val="22"/>
        </w:rPr>
        <w:t xml:space="preserve">May 31, 2019 </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470C85">
        <w:rPr>
          <w:rFonts w:eastAsiaTheme="minorHAnsi"/>
          <w:sz w:val="22"/>
          <w:szCs w:val="22"/>
        </w:rPr>
        <w:t>May 31, 2019</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Pr>
          <w:rFonts w:ascii="Times New Roman" w:hAnsi="Times New Roman" w:cs="Times New Roman"/>
          <w:sz w:val="24"/>
          <w:szCs w:val="24"/>
        </w:rPr>
        <w:t>Judy Bischoff</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lastRenderedPageBreak/>
        <w:t xml:space="preserve">PROJECT ABSTRACT:  </w:t>
      </w:r>
      <w:bookmarkStart w:id="1" w:name="_GoBack"/>
      <w:bookmarkEnd w:id="1"/>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99E2DCA8931D434D962B7957CF0F212D"/>
        </w:placeholder>
        <w:showingPlcHdr/>
      </w:sdtPr>
      <w:sdtEndPr/>
      <w:sdtContent>
        <w:p w:rsidR="006632F5" w:rsidRDefault="006632F5" w:rsidP="006632F5">
          <w:pPr>
            <w:pStyle w:val="PlainText"/>
            <w:rPr>
              <w:rFonts w:ascii="Times New Roman" w:hAnsi="Times New Roman" w:cs="Times New Roman"/>
              <w:b/>
              <w:szCs w:val="24"/>
            </w:rPr>
          </w:pPr>
          <w:r>
            <w:rPr>
              <w:rStyle w:val="PlaceholderText"/>
              <w:rFonts w:ascii="Times New Roman" w:hAnsi="Times New Roman"/>
              <w:color w:val="808080" w:themeColor="background1" w:themeShade="80"/>
            </w:rPr>
            <w:t>Click here to enter the project abstract.</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BB460A" w:rsidRDefault="00BB460A" w:rsidP="00BB460A">
      <w:pPr>
        <w:rPr>
          <w:rFonts w:ascii="Times New Roman" w:eastAsia="Calibri" w:hAnsi="Times New Roman" w:cs="Times New Roman"/>
        </w:rPr>
      </w:pPr>
      <w:r w:rsidRPr="00BB460A">
        <w:rPr>
          <w:rFonts w:ascii="Times New Roman" w:eastAsia="Calibri" w:hAnsi="Times New Roman" w:cs="Times New Roman"/>
        </w:rPr>
        <w:t>The List of Classified Structures database is a management tool focused on structures as the base unit.  Structures are constructed works that serve some form of human activity and are generally immovable.   Structures on the List of Classified Structures (LCS) are those that individually meet the National Register criteria or those that are contributing elements of sites or districts that meet the criteria.  A web-based platform of over 6,000 records in the Intermountain Region, information in the LCS is used to assist park managers and cultural resource specialists in making and recording management decisions, compliance with the National Historic Preservation Act, and to provide data for park planning documents.  Part of the data provided to park managers is current condition assessments of listed structures.  This project allows student interns hired by the University of New Mexico School of Architecture and Planning to conduct the field evaluations needed to acquire current condition assessments</w:t>
      </w:r>
      <w:r>
        <w:rPr>
          <w:rFonts w:ascii="Times New Roman" w:eastAsia="Calibri" w:hAnsi="Times New Roman" w:cs="Times New Roman"/>
        </w:rPr>
        <w:t xml:space="preserve"> and document unlisted structures for addition to the National Register of Historic Places</w:t>
      </w:r>
      <w:r w:rsidRPr="00BB460A">
        <w:rPr>
          <w:rFonts w:ascii="Times New Roman" w:eastAsia="Calibri" w:hAnsi="Times New Roman" w:cs="Times New Roman"/>
        </w:rPr>
        <w:t xml:space="preserve"> by providing a transportation stipend and backcountry per diem.  The IMR LCS program </w:t>
      </w:r>
      <w:r w:rsidR="00470C85">
        <w:rPr>
          <w:rFonts w:ascii="Times New Roman" w:eastAsia="Calibri" w:hAnsi="Times New Roman" w:cs="Times New Roman"/>
        </w:rPr>
        <w:t xml:space="preserve">has ninety parks that have not had </w:t>
      </w:r>
      <w:r w:rsidRPr="00BB460A">
        <w:rPr>
          <w:rFonts w:ascii="Times New Roman" w:eastAsia="Calibri" w:hAnsi="Times New Roman" w:cs="Times New Roman"/>
        </w:rPr>
        <w:t>condition assessments</w:t>
      </w:r>
      <w:r w:rsidR="00470C85">
        <w:rPr>
          <w:rFonts w:ascii="Times New Roman" w:eastAsia="Calibri" w:hAnsi="Times New Roman" w:cs="Times New Roman"/>
        </w:rPr>
        <w:t xml:space="preserve">. Some of these include. </w:t>
      </w:r>
    </w:p>
    <w:p w:rsidR="00BB460A" w:rsidRDefault="00BB460A" w:rsidP="00BB460A">
      <w:pPr>
        <w:spacing w:after="0" w:line="240" w:lineRule="auto"/>
        <w:ind w:firstLine="720"/>
        <w:rPr>
          <w:rFonts w:ascii="Times New Roman" w:eastAsia="Calibri" w:hAnsi="Times New Roman" w:cs="Times New Roman"/>
        </w:rPr>
      </w:pPr>
      <w:r w:rsidRPr="00BB460A">
        <w:rPr>
          <w:rFonts w:ascii="Times New Roman" w:eastAsia="Calibri" w:hAnsi="Times New Roman" w:cs="Times New Roman"/>
        </w:rPr>
        <w:t>1.</w:t>
      </w:r>
      <w:r w:rsidRPr="00BB460A">
        <w:rPr>
          <w:rFonts w:ascii="Times New Roman" w:eastAsia="Calibri" w:hAnsi="Times New Roman" w:cs="Times New Roman"/>
        </w:rPr>
        <w:tab/>
      </w:r>
      <w:proofErr w:type="spellStart"/>
      <w:r>
        <w:rPr>
          <w:rFonts w:ascii="Times New Roman" w:eastAsia="Calibri" w:hAnsi="Times New Roman" w:cs="Times New Roman"/>
        </w:rPr>
        <w:t>Bandalier</w:t>
      </w:r>
      <w:proofErr w:type="spellEnd"/>
      <w:r w:rsidRPr="00BB460A">
        <w:rPr>
          <w:rFonts w:ascii="Times New Roman" w:eastAsia="Calibri" w:hAnsi="Times New Roman" w:cs="Times New Roman"/>
        </w:rPr>
        <w:t xml:space="preserve"> National Park</w:t>
      </w:r>
    </w:p>
    <w:p w:rsidR="00BB460A" w:rsidRDefault="00BB460A" w:rsidP="00BB460A">
      <w:pPr>
        <w:spacing w:after="0" w:line="240" w:lineRule="auto"/>
        <w:ind w:firstLine="720"/>
        <w:rPr>
          <w:rFonts w:ascii="Times New Roman" w:eastAsia="Calibri" w:hAnsi="Times New Roman" w:cs="Times New Roman"/>
        </w:rPr>
      </w:pPr>
      <w:r w:rsidRPr="00BB460A">
        <w:rPr>
          <w:rFonts w:ascii="Times New Roman" w:eastAsia="Calibri" w:hAnsi="Times New Roman" w:cs="Times New Roman"/>
        </w:rPr>
        <w:t>2.</w:t>
      </w:r>
      <w:r w:rsidRPr="00BB460A">
        <w:rPr>
          <w:rFonts w:ascii="Times New Roman" w:eastAsia="Calibri" w:hAnsi="Times New Roman" w:cs="Times New Roman"/>
        </w:rPr>
        <w:tab/>
        <w:t xml:space="preserve">Canyon de </w:t>
      </w:r>
      <w:proofErr w:type="spellStart"/>
      <w:r w:rsidRPr="00BB460A">
        <w:rPr>
          <w:rFonts w:ascii="Times New Roman" w:eastAsia="Calibri" w:hAnsi="Times New Roman" w:cs="Times New Roman"/>
        </w:rPr>
        <w:t>Chelly</w:t>
      </w:r>
      <w:proofErr w:type="spellEnd"/>
      <w:r w:rsidRPr="00BB460A">
        <w:rPr>
          <w:rFonts w:ascii="Times New Roman" w:eastAsia="Calibri" w:hAnsi="Times New Roman" w:cs="Times New Roman"/>
        </w:rPr>
        <w:t xml:space="preserve"> National Monument</w:t>
      </w:r>
    </w:p>
    <w:p w:rsidR="00BB460A" w:rsidRDefault="00BB460A" w:rsidP="00BB460A">
      <w:pPr>
        <w:spacing w:after="0" w:line="240" w:lineRule="auto"/>
        <w:ind w:firstLine="720"/>
        <w:rPr>
          <w:rFonts w:ascii="Times New Roman" w:eastAsia="Calibri" w:hAnsi="Times New Roman" w:cs="Times New Roman"/>
        </w:rPr>
      </w:pPr>
      <w:r w:rsidRPr="00BB460A">
        <w:rPr>
          <w:rFonts w:ascii="Times New Roman" w:eastAsia="Calibri" w:hAnsi="Times New Roman" w:cs="Times New Roman"/>
        </w:rPr>
        <w:t>3.</w:t>
      </w:r>
      <w:r w:rsidRPr="00BB460A">
        <w:rPr>
          <w:rFonts w:ascii="Times New Roman" w:eastAsia="Calibri" w:hAnsi="Times New Roman" w:cs="Times New Roman"/>
        </w:rPr>
        <w:tab/>
        <w:t>Chaco Culture National Historic Park</w:t>
      </w:r>
    </w:p>
    <w:p w:rsidR="00BB460A" w:rsidRDefault="00BB460A" w:rsidP="00BB460A">
      <w:pPr>
        <w:spacing w:after="0" w:line="240" w:lineRule="auto"/>
        <w:ind w:firstLine="720"/>
        <w:rPr>
          <w:rFonts w:ascii="Times New Roman" w:eastAsia="Calibri" w:hAnsi="Times New Roman" w:cs="Times New Roman"/>
        </w:rPr>
      </w:pPr>
      <w:r w:rsidRPr="00BB460A">
        <w:rPr>
          <w:rFonts w:ascii="Times New Roman" w:eastAsia="Calibri" w:hAnsi="Times New Roman" w:cs="Times New Roman"/>
        </w:rPr>
        <w:t>4.</w:t>
      </w:r>
      <w:r w:rsidRPr="00BB460A">
        <w:rPr>
          <w:rFonts w:ascii="Times New Roman" w:eastAsia="Calibri" w:hAnsi="Times New Roman" w:cs="Times New Roman"/>
        </w:rPr>
        <w:tab/>
      </w:r>
      <w:r>
        <w:rPr>
          <w:rFonts w:ascii="Times New Roman" w:eastAsia="Calibri" w:hAnsi="Times New Roman" w:cs="Times New Roman"/>
        </w:rPr>
        <w:t>Glacier</w:t>
      </w:r>
      <w:r w:rsidRPr="00BB460A">
        <w:rPr>
          <w:rFonts w:ascii="Times New Roman" w:eastAsia="Calibri" w:hAnsi="Times New Roman" w:cs="Times New Roman"/>
        </w:rPr>
        <w:t xml:space="preserve"> National Park</w:t>
      </w:r>
    </w:p>
    <w:p w:rsidR="00BB460A" w:rsidRDefault="00BB460A" w:rsidP="00BB460A">
      <w:pPr>
        <w:spacing w:after="0" w:line="240" w:lineRule="auto"/>
        <w:ind w:firstLine="720"/>
        <w:rPr>
          <w:rFonts w:ascii="Times New Roman" w:eastAsia="Calibri" w:hAnsi="Times New Roman" w:cs="Times New Roman"/>
        </w:rPr>
      </w:pPr>
      <w:r w:rsidRPr="00BB460A">
        <w:rPr>
          <w:rFonts w:ascii="Times New Roman" w:eastAsia="Calibri" w:hAnsi="Times New Roman" w:cs="Times New Roman"/>
        </w:rPr>
        <w:t>5.</w:t>
      </w:r>
      <w:r w:rsidRPr="00BB460A">
        <w:rPr>
          <w:rFonts w:ascii="Times New Roman" w:eastAsia="Calibri" w:hAnsi="Times New Roman" w:cs="Times New Roman"/>
        </w:rPr>
        <w:tab/>
        <w:t>Yellowstone National Park</w:t>
      </w:r>
    </w:p>
    <w:p w:rsidR="00BB460A" w:rsidRDefault="00BB460A" w:rsidP="00BB460A">
      <w:pPr>
        <w:rPr>
          <w:rFonts w:ascii="Times New Roman" w:eastAsia="Calibri" w:hAnsi="Times New Roman" w:cs="Times New Roman"/>
        </w:rPr>
      </w:pPr>
    </w:p>
    <w:p w:rsidR="006632F5" w:rsidRDefault="00BB460A" w:rsidP="00BB460A">
      <w:pPr>
        <w:rPr>
          <w:rFonts w:ascii="Times New Roman" w:hAnsi="Times New Roman" w:cs="Times New Roman"/>
          <w:b/>
          <w:bCs/>
          <w:sz w:val="24"/>
          <w:szCs w:val="24"/>
        </w:rPr>
      </w:pPr>
      <w:r w:rsidRPr="00BB460A">
        <w:rPr>
          <w:rFonts w:ascii="Times New Roman" w:eastAsia="Calibri" w:hAnsi="Times New Roman" w:cs="Times New Roman"/>
        </w:rPr>
        <w:t xml:space="preserve">SCOPE OF WORK:  This project provides for summer internships starting in the summer of </w:t>
      </w:r>
      <w:r w:rsidR="00470C85" w:rsidRPr="00BB460A">
        <w:rPr>
          <w:rFonts w:ascii="Times New Roman" w:eastAsia="Calibri" w:hAnsi="Times New Roman" w:cs="Times New Roman"/>
        </w:rPr>
        <w:t>201</w:t>
      </w:r>
      <w:r w:rsidR="00470C85">
        <w:rPr>
          <w:rFonts w:ascii="Times New Roman" w:eastAsia="Calibri" w:hAnsi="Times New Roman" w:cs="Times New Roman"/>
        </w:rPr>
        <w:t>4</w:t>
      </w:r>
      <w:r w:rsidR="00470C85" w:rsidRPr="00BB460A">
        <w:rPr>
          <w:rFonts w:ascii="Times New Roman" w:eastAsia="Calibri" w:hAnsi="Times New Roman" w:cs="Times New Roman"/>
        </w:rPr>
        <w:t xml:space="preserve"> </w:t>
      </w:r>
      <w:r w:rsidRPr="00BB460A">
        <w:rPr>
          <w:rFonts w:ascii="Times New Roman" w:eastAsia="Calibri" w:hAnsi="Times New Roman" w:cs="Times New Roman"/>
        </w:rPr>
        <w:t xml:space="preserve">with the National Park Service, Cultural Resources office in Santa Fe for graduate students in the fields of American </w:t>
      </w:r>
      <w:r>
        <w:rPr>
          <w:rFonts w:ascii="Times New Roman" w:eastAsia="Calibri" w:hAnsi="Times New Roman" w:cs="Times New Roman"/>
        </w:rPr>
        <w:t xml:space="preserve">history, historic architecture, and landscape architecture.  </w:t>
      </w:r>
      <w:r w:rsidRPr="00BB460A">
        <w:rPr>
          <w:rFonts w:ascii="Times New Roman" w:eastAsia="Calibri" w:hAnsi="Times New Roman" w:cs="Times New Roman"/>
        </w:rPr>
        <w:t xml:space="preserve"> Selected individuals will work in the NPS Santa Fe office and in parks</w:t>
      </w:r>
      <w:r w:rsidR="00364106">
        <w:rPr>
          <w:rFonts w:ascii="Times New Roman" w:eastAsia="Calibri" w:hAnsi="Times New Roman" w:cs="Times New Roman"/>
        </w:rPr>
        <w:t>.</w:t>
      </w:r>
      <w:r w:rsidRPr="00BB460A">
        <w:rPr>
          <w:rFonts w:ascii="Times New Roman" w:eastAsia="Calibri" w:hAnsi="Times New Roman" w:cs="Times New Roman"/>
        </w:rPr>
        <w:t xml:space="preserve"> These are twelve week internships, starting in </w:t>
      </w:r>
      <w:r>
        <w:rPr>
          <w:rFonts w:ascii="Times New Roman" w:eastAsia="Calibri" w:hAnsi="Times New Roman" w:cs="Times New Roman"/>
        </w:rPr>
        <w:t xml:space="preserve">late </w:t>
      </w:r>
      <w:r w:rsidRPr="00BB460A">
        <w:rPr>
          <w:rFonts w:ascii="Times New Roman" w:eastAsia="Calibri" w:hAnsi="Times New Roman" w:cs="Times New Roman"/>
        </w:rPr>
        <w:t xml:space="preserve">May and ending in mid-August.  Under this agreement, a stipend will be provided by the NPS through the University, depending on the Intern’s experience and skill levels.  Travel and per diem will be paid by the NPS through the University at standard rates.   The interns will enter the information gathered the List of Classified Structures website/database.  All graphics will be in JPG. file format and meet the size requirements of the database.  Obtaining this information will require conducting 1) physical inspection and condition assessment of historic and prehistoric structures in parks, and 2) historic research to determine National Register status, construction data, function and use, structure type, condition and impacts, etc.   </w:t>
      </w:r>
      <w:r>
        <w:rPr>
          <w:rFonts w:ascii="Times New Roman" w:eastAsia="Calibri" w:hAnsi="Times New Roman" w:cs="Times New Roman"/>
        </w:rPr>
        <w:t>His</w:t>
      </w:r>
      <w:r w:rsidRPr="00BB460A">
        <w:rPr>
          <w:rFonts w:ascii="Times New Roman" w:eastAsia="Calibri" w:hAnsi="Times New Roman" w:cs="Times New Roman"/>
        </w:rPr>
        <w:t>toric research will be required to develop a physical description and a statement of significance acceptable to staff of the NPS and appropriate State Historic Preservation Office</w:t>
      </w:r>
      <w:r>
        <w:rPr>
          <w:rFonts w:ascii="Times New Roman" w:eastAsia="Calibri" w:hAnsi="Times New Roman" w:cs="Times New Roman"/>
        </w:rPr>
        <w:t xml:space="preserve"> for s</w:t>
      </w:r>
      <w:r w:rsidRPr="00BB460A">
        <w:rPr>
          <w:rFonts w:ascii="Times New Roman" w:eastAsia="Calibri" w:hAnsi="Times New Roman" w:cs="Times New Roman"/>
        </w:rPr>
        <w:t xml:space="preserve">tructures </w:t>
      </w:r>
      <w:r>
        <w:rPr>
          <w:rFonts w:ascii="Times New Roman" w:eastAsia="Calibri" w:hAnsi="Times New Roman" w:cs="Times New Roman"/>
        </w:rPr>
        <w:t xml:space="preserve">needing </w:t>
      </w:r>
      <w:r w:rsidRPr="00BB460A">
        <w:rPr>
          <w:rFonts w:ascii="Times New Roman" w:eastAsia="Calibri" w:hAnsi="Times New Roman" w:cs="Times New Roman"/>
        </w:rPr>
        <w:t xml:space="preserve">Determinations of </w:t>
      </w:r>
      <w:proofErr w:type="spellStart"/>
      <w:r w:rsidRPr="00BB460A">
        <w:rPr>
          <w:rFonts w:ascii="Times New Roman" w:eastAsia="Calibri" w:hAnsi="Times New Roman" w:cs="Times New Roman"/>
        </w:rPr>
        <w:t>Eligibility</w:t>
      </w:r>
      <w:r>
        <w:rPr>
          <w:rFonts w:ascii="Times New Roman" w:eastAsia="Calibri" w:hAnsi="Times New Roman" w:cs="Times New Roman"/>
        </w:rPr>
        <w:t>s</w:t>
      </w:r>
      <w:proofErr w:type="spellEnd"/>
      <w:r w:rsidRPr="00BB460A">
        <w:rPr>
          <w:rFonts w:ascii="Times New Roman" w:eastAsia="Calibri" w:hAnsi="Times New Roman" w:cs="Times New Roman"/>
        </w:rPr>
        <w:t xml:space="preserve"> (DOEs) </w:t>
      </w:r>
      <w:r>
        <w:rPr>
          <w:rFonts w:ascii="Times New Roman" w:eastAsia="Calibri" w:hAnsi="Times New Roman" w:cs="Times New Roman"/>
        </w:rPr>
        <w:t>or National Register nominations</w:t>
      </w:r>
      <w:r w:rsidRPr="00BB460A">
        <w:rPr>
          <w:rFonts w:ascii="Times New Roman" w:eastAsia="Calibri" w:hAnsi="Times New Roman" w:cs="Times New Roman"/>
        </w:rPr>
        <w:t xml:space="preserve">.  The DOEs will be done on PCs in MS WORD, graphics in Jpg. Format.  </w:t>
      </w: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5"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Cs/>
          <w:sz w:val="24"/>
          <w:szCs w:val="24"/>
        </w:rPr>
        <w:id w:val="14976754"/>
        <w:placeholder>
          <w:docPart w:val="4090A72A02984C5B9A3CDEE1CBD367A0"/>
        </w:placeholder>
      </w:sdtPr>
      <w:sdtEndPr/>
      <w:sdtContent>
        <w:p w:rsidR="005E109E" w:rsidRDefault="00BB460A" w:rsidP="006632F5">
          <w:pPr>
            <w:rPr>
              <w:rFonts w:ascii="Times New Roman" w:hAnsi="Times New Roman" w:cs="Times New Roman"/>
              <w:bCs/>
              <w:sz w:val="24"/>
              <w:szCs w:val="24"/>
            </w:rPr>
          </w:pPr>
          <w:r w:rsidRPr="005E109E">
            <w:rPr>
              <w:rFonts w:ascii="Times New Roman" w:hAnsi="Times New Roman" w:cs="Times New Roman"/>
              <w:bCs/>
              <w:sz w:val="24"/>
              <w:szCs w:val="24"/>
            </w:rPr>
            <w:t>Annual products include complete, accu</w:t>
          </w:r>
          <w:r w:rsidR="005E109E" w:rsidRPr="005E109E">
            <w:rPr>
              <w:rFonts w:ascii="Times New Roman" w:hAnsi="Times New Roman" w:cs="Times New Roman"/>
              <w:bCs/>
              <w:sz w:val="24"/>
              <w:szCs w:val="24"/>
            </w:rPr>
            <w:t>r</w:t>
          </w:r>
          <w:r w:rsidRPr="005E109E">
            <w:rPr>
              <w:rFonts w:ascii="Times New Roman" w:hAnsi="Times New Roman" w:cs="Times New Roman"/>
              <w:bCs/>
              <w:sz w:val="24"/>
              <w:szCs w:val="24"/>
            </w:rPr>
            <w:t xml:space="preserve">ate and reliable </w:t>
          </w:r>
          <w:r w:rsidR="005E109E" w:rsidRPr="005E109E">
            <w:rPr>
              <w:rFonts w:ascii="Times New Roman" w:hAnsi="Times New Roman" w:cs="Times New Roman"/>
              <w:bCs/>
              <w:sz w:val="24"/>
              <w:szCs w:val="24"/>
            </w:rPr>
            <w:t xml:space="preserve">information entered into LCS and the completion of any required Determination(s) of Eligibility or national register nomination(s).  </w:t>
          </w:r>
        </w:p>
        <w:p w:rsidR="005E109E" w:rsidRDefault="005E109E" w:rsidP="006632F5">
          <w:pPr>
            <w:rPr>
              <w:rFonts w:ascii="Times New Roman" w:hAnsi="Times New Roman" w:cs="Times New Roman"/>
              <w:bCs/>
              <w:sz w:val="24"/>
              <w:szCs w:val="24"/>
            </w:rPr>
          </w:pPr>
          <w:r>
            <w:rPr>
              <w:rFonts w:ascii="Times New Roman" w:hAnsi="Times New Roman" w:cs="Times New Roman"/>
              <w:bCs/>
              <w:sz w:val="24"/>
              <w:szCs w:val="24"/>
            </w:rPr>
            <w:t xml:space="preserve">All field notes, digital photographs, drawings and/or collections are property of the National  Park Service and will be delivered to the NPS at the end of each summer. </w:t>
          </w:r>
        </w:p>
        <w:p w:rsidR="005E109E" w:rsidRDefault="005E109E" w:rsidP="006632F5">
          <w:pPr>
            <w:rPr>
              <w:rFonts w:ascii="Times New Roman" w:hAnsi="Times New Roman" w:cs="Times New Roman"/>
              <w:bCs/>
              <w:sz w:val="24"/>
              <w:szCs w:val="24"/>
            </w:rPr>
          </w:pPr>
        </w:p>
        <w:p w:rsidR="005E109E" w:rsidRDefault="005E109E" w:rsidP="006632F5">
          <w:pPr>
            <w:rPr>
              <w:rFonts w:ascii="Times New Roman" w:hAnsi="Times New Roman" w:cs="Times New Roman"/>
              <w:bCs/>
              <w:sz w:val="24"/>
              <w:szCs w:val="24"/>
            </w:rPr>
          </w:pPr>
          <w:r>
            <w:rPr>
              <w:rFonts w:ascii="Times New Roman" w:hAnsi="Times New Roman" w:cs="Times New Roman"/>
              <w:bCs/>
              <w:sz w:val="24"/>
              <w:szCs w:val="24"/>
            </w:rPr>
            <w:t xml:space="preserve">Final Report:  Executive summary of program accomplishments. </w:t>
          </w:r>
        </w:p>
        <w:p w:rsidR="006632F5" w:rsidRPr="005E109E" w:rsidRDefault="002541CF" w:rsidP="006632F5">
          <w:pPr>
            <w:rPr>
              <w:rFonts w:ascii="Times New Roman" w:hAnsi="Times New Roman" w:cs="Times New Roman"/>
              <w:bCs/>
              <w:sz w:val="24"/>
              <w:szCs w:val="24"/>
            </w:rPr>
          </w:pPr>
        </w:p>
      </w:sdtContent>
    </w:sdt>
    <w:p w:rsidR="006632F5" w:rsidRDefault="006632F5" w:rsidP="006632F5">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w:t>
      </w:r>
      <w:r w:rsidR="00470C85">
        <w:rPr>
          <w:rFonts w:ascii="Times New Roman" w:hAnsi="Times New Roman" w:cs="Times New Roman"/>
          <w:bCs/>
          <w:i/>
          <w:sz w:val="24"/>
          <w:szCs w:val="24"/>
        </w:rPr>
        <w:t>Justification for Use of Financial Assistance</w:t>
      </w:r>
      <w:r>
        <w:rPr>
          <w:rFonts w:ascii="Times New Roman" w:hAnsi="Times New Roman" w:cs="Times New Roman"/>
          <w:bCs/>
          <w:i/>
          <w:sz w:val="24"/>
          <w:szCs w:val="24"/>
        </w:rPr>
        <w:t xml:space="preserve">.) </w:t>
      </w:r>
      <w:r w:rsidR="005E109E">
        <w:rPr>
          <w:rFonts w:ascii="Times New Roman" w:hAnsi="Times New Roman" w:cs="Times New Roman"/>
          <w:bCs/>
          <w:i/>
          <w:sz w:val="24"/>
          <w:szCs w:val="24"/>
        </w:rPr>
        <w:t xml:space="preserve">See Attached.  </w:t>
      </w: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50" w:rsidRDefault="00510F50" w:rsidP="00F63822">
      <w:pPr>
        <w:spacing w:after="0" w:line="240" w:lineRule="auto"/>
      </w:pPr>
      <w:r>
        <w:separator/>
      </w:r>
    </w:p>
  </w:endnote>
  <w:endnote w:type="continuationSeparator" w:id="0">
    <w:p w:rsidR="00510F50" w:rsidRDefault="00510F50"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2541CF">
          <w:rPr>
            <w:noProof/>
          </w:rPr>
          <w:t>1</w:t>
        </w:r>
        <w:r>
          <w:rPr>
            <w:noProof/>
          </w:rPr>
          <w:fldChar w:fldCharType="end"/>
        </w:r>
      </w:p>
    </w:sdtContent>
  </w:sdt>
  <w:p w:rsidR="001E2332" w:rsidRDefault="00316DF9">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50" w:rsidRDefault="00510F50" w:rsidP="00F63822">
      <w:pPr>
        <w:spacing w:after="0" w:line="240" w:lineRule="auto"/>
      </w:pPr>
      <w:r>
        <w:separator/>
      </w:r>
    </w:p>
  </w:footnote>
  <w:footnote w:type="continuationSeparator" w:id="0">
    <w:p w:rsidR="00510F50" w:rsidRDefault="00510F50"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64FDB"/>
    <w:rsid w:val="000A22A7"/>
    <w:rsid w:val="00121EEF"/>
    <w:rsid w:val="00130E41"/>
    <w:rsid w:val="00157480"/>
    <w:rsid w:val="00162634"/>
    <w:rsid w:val="001749D9"/>
    <w:rsid w:val="00174BE2"/>
    <w:rsid w:val="001839C9"/>
    <w:rsid w:val="00187567"/>
    <w:rsid w:val="001D6D00"/>
    <w:rsid w:val="001E2332"/>
    <w:rsid w:val="002065C4"/>
    <w:rsid w:val="00210B66"/>
    <w:rsid w:val="00217D16"/>
    <w:rsid w:val="002237BF"/>
    <w:rsid w:val="0024678F"/>
    <w:rsid w:val="002477C3"/>
    <w:rsid w:val="002541CF"/>
    <w:rsid w:val="00263227"/>
    <w:rsid w:val="002B4A7F"/>
    <w:rsid w:val="002D7D45"/>
    <w:rsid w:val="002E659F"/>
    <w:rsid w:val="00316DF9"/>
    <w:rsid w:val="00364106"/>
    <w:rsid w:val="003813D7"/>
    <w:rsid w:val="003C3D5C"/>
    <w:rsid w:val="003D287D"/>
    <w:rsid w:val="003E2C0F"/>
    <w:rsid w:val="003F455E"/>
    <w:rsid w:val="004126E7"/>
    <w:rsid w:val="00435A26"/>
    <w:rsid w:val="00470C85"/>
    <w:rsid w:val="00481BAA"/>
    <w:rsid w:val="00494AC3"/>
    <w:rsid w:val="004D5A8F"/>
    <w:rsid w:val="004E3439"/>
    <w:rsid w:val="004F5A2B"/>
    <w:rsid w:val="004F6D50"/>
    <w:rsid w:val="00502909"/>
    <w:rsid w:val="00510F50"/>
    <w:rsid w:val="005352D0"/>
    <w:rsid w:val="00535B03"/>
    <w:rsid w:val="00536F11"/>
    <w:rsid w:val="005667AC"/>
    <w:rsid w:val="005903D5"/>
    <w:rsid w:val="005913F5"/>
    <w:rsid w:val="005B260C"/>
    <w:rsid w:val="005C4689"/>
    <w:rsid w:val="005E109E"/>
    <w:rsid w:val="005E72B1"/>
    <w:rsid w:val="005F3B76"/>
    <w:rsid w:val="00641903"/>
    <w:rsid w:val="0064482F"/>
    <w:rsid w:val="006474A5"/>
    <w:rsid w:val="0065108C"/>
    <w:rsid w:val="006632F5"/>
    <w:rsid w:val="00677FB8"/>
    <w:rsid w:val="006812ED"/>
    <w:rsid w:val="006B3208"/>
    <w:rsid w:val="00705086"/>
    <w:rsid w:val="00716331"/>
    <w:rsid w:val="0075622F"/>
    <w:rsid w:val="00757785"/>
    <w:rsid w:val="00760CE3"/>
    <w:rsid w:val="0078132F"/>
    <w:rsid w:val="0078493B"/>
    <w:rsid w:val="00787E2E"/>
    <w:rsid w:val="007B170F"/>
    <w:rsid w:val="007C3BF9"/>
    <w:rsid w:val="007F5F79"/>
    <w:rsid w:val="007F6804"/>
    <w:rsid w:val="008175E7"/>
    <w:rsid w:val="0084243C"/>
    <w:rsid w:val="00862773"/>
    <w:rsid w:val="008A538D"/>
    <w:rsid w:val="008C0A8E"/>
    <w:rsid w:val="008D7202"/>
    <w:rsid w:val="008F1986"/>
    <w:rsid w:val="008F232A"/>
    <w:rsid w:val="008F354D"/>
    <w:rsid w:val="00916BEB"/>
    <w:rsid w:val="009274F0"/>
    <w:rsid w:val="00931A32"/>
    <w:rsid w:val="0093254F"/>
    <w:rsid w:val="00944936"/>
    <w:rsid w:val="009604CD"/>
    <w:rsid w:val="00961FDF"/>
    <w:rsid w:val="00990361"/>
    <w:rsid w:val="009A258F"/>
    <w:rsid w:val="009A52EC"/>
    <w:rsid w:val="009A5817"/>
    <w:rsid w:val="009C4BC7"/>
    <w:rsid w:val="009D293B"/>
    <w:rsid w:val="009E5039"/>
    <w:rsid w:val="009F4195"/>
    <w:rsid w:val="00A02504"/>
    <w:rsid w:val="00A035B6"/>
    <w:rsid w:val="00A124C5"/>
    <w:rsid w:val="00A32A3F"/>
    <w:rsid w:val="00A615B5"/>
    <w:rsid w:val="00A85BCB"/>
    <w:rsid w:val="00AB63AD"/>
    <w:rsid w:val="00AD29B6"/>
    <w:rsid w:val="00AD5A3E"/>
    <w:rsid w:val="00AE33E0"/>
    <w:rsid w:val="00B0238A"/>
    <w:rsid w:val="00B22C88"/>
    <w:rsid w:val="00B24CD2"/>
    <w:rsid w:val="00B64BAC"/>
    <w:rsid w:val="00B82BDE"/>
    <w:rsid w:val="00BA68AC"/>
    <w:rsid w:val="00BB460A"/>
    <w:rsid w:val="00C17485"/>
    <w:rsid w:val="00C40F04"/>
    <w:rsid w:val="00C42807"/>
    <w:rsid w:val="00C55FFB"/>
    <w:rsid w:val="00C6738D"/>
    <w:rsid w:val="00C7709D"/>
    <w:rsid w:val="00C82520"/>
    <w:rsid w:val="00C910A0"/>
    <w:rsid w:val="00CA61C8"/>
    <w:rsid w:val="00CB18C8"/>
    <w:rsid w:val="00CD4B0C"/>
    <w:rsid w:val="00D21A9A"/>
    <w:rsid w:val="00D2322E"/>
    <w:rsid w:val="00D41F8F"/>
    <w:rsid w:val="00D54290"/>
    <w:rsid w:val="00D713FA"/>
    <w:rsid w:val="00D8787D"/>
    <w:rsid w:val="00DA7883"/>
    <w:rsid w:val="00DC35CC"/>
    <w:rsid w:val="00E009DB"/>
    <w:rsid w:val="00E21BDE"/>
    <w:rsid w:val="00E225F1"/>
    <w:rsid w:val="00E34D4B"/>
    <w:rsid w:val="00F20993"/>
    <w:rsid w:val="00F63822"/>
    <w:rsid w:val="00F90490"/>
    <w:rsid w:val="00F914FA"/>
    <w:rsid w:val="00F96905"/>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4540">
      <w:bodyDiv w:val="1"/>
      <w:marLeft w:val="0"/>
      <w:marRight w:val="0"/>
      <w:marTop w:val="0"/>
      <w:marBottom w:val="0"/>
      <w:divBdr>
        <w:top w:val="none" w:sz="0" w:space="0" w:color="auto"/>
        <w:left w:val="none" w:sz="0" w:space="0" w:color="auto"/>
        <w:bottom w:val="none" w:sz="0" w:space="0" w:color="auto"/>
        <w:right w:val="none" w:sz="0" w:space="0" w:color="auto"/>
      </w:divBdr>
      <w:divsChild>
        <w:div w:id="801077084">
          <w:marLeft w:val="0"/>
          <w:marRight w:val="0"/>
          <w:marTop w:val="0"/>
          <w:marBottom w:val="0"/>
          <w:divBdr>
            <w:top w:val="none" w:sz="0" w:space="0" w:color="auto"/>
            <w:left w:val="none" w:sz="0" w:space="0" w:color="auto"/>
            <w:bottom w:val="none" w:sz="0" w:space="0" w:color="auto"/>
            <w:right w:val="none" w:sz="0" w:space="0" w:color="auto"/>
          </w:divBdr>
        </w:div>
      </w:divsChild>
    </w:div>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20339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nie_Houston@np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nnie_Houston@np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rr2@unm.edu" TargetMode="External"/><Relationship Id="rId5" Type="http://schemas.openxmlformats.org/officeDocument/2006/relationships/settings" Target="settings.xml"/><Relationship Id="rId15" Type="http://schemas.openxmlformats.org/officeDocument/2006/relationships/hyperlink" Target="mailto:linda_webb@contractor.nps.gov" TargetMode="External"/><Relationship Id="rId10" Type="http://schemas.openxmlformats.org/officeDocument/2006/relationships/image" Target="media/image2.gi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odd_chaudhry@np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F63B0"/>
    <w:rsid w:val="00294EBE"/>
    <w:rsid w:val="002A23E4"/>
    <w:rsid w:val="0033752C"/>
    <w:rsid w:val="003378AF"/>
    <w:rsid w:val="00356416"/>
    <w:rsid w:val="003633C2"/>
    <w:rsid w:val="00385E66"/>
    <w:rsid w:val="00391736"/>
    <w:rsid w:val="003D4B71"/>
    <w:rsid w:val="003F50B3"/>
    <w:rsid w:val="004132C3"/>
    <w:rsid w:val="004546EF"/>
    <w:rsid w:val="00460CA4"/>
    <w:rsid w:val="004D1B7C"/>
    <w:rsid w:val="0052145A"/>
    <w:rsid w:val="005F56BF"/>
    <w:rsid w:val="006848BD"/>
    <w:rsid w:val="00795B65"/>
    <w:rsid w:val="007A3EBB"/>
    <w:rsid w:val="007F0AFD"/>
    <w:rsid w:val="008A6000"/>
    <w:rsid w:val="008B6ACE"/>
    <w:rsid w:val="008F61DE"/>
    <w:rsid w:val="00953037"/>
    <w:rsid w:val="00961B9C"/>
    <w:rsid w:val="00986A6D"/>
    <w:rsid w:val="00986DB3"/>
    <w:rsid w:val="009E5C5C"/>
    <w:rsid w:val="00B360B8"/>
    <w:rsid w:val="00BB2AE4"/>
    <w:rsid w:val="00C33447"/>
    <w:rsid w:val="00C35641"/>
    <w:rsid w:val="00DC6089"/>
    <w:rsid w:val="00E20EAE"/>
    <w:rsid w:val="00E40BF5"/>
    <w:rsid w:val="00E55E26"/>
    <w:rsid w:val="00F479D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2A83-7FE4-4C27-B653-C90CCE40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6</cp:revision>
  <cp:lastPrinted>2014-04-09T17:57:00Z</cp:lastPrinted>
  <dcterms:created xsi:type="dcterms:W3CDTF">2014-04-22T18:27:00Z</dcterms:created>
  <dcterms:modified xsi:type="dcterms:W3CDTF">2014-06-23T16:49:00Z</dcterms:modified>
</cp:coreProperties>
</file>