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Pr="0043411E" w:rsidRDefault="00AF552C" w:rsidP="00AF552C">
      <w:pPr>
        <w:pStyle w:val="Heading8"/>
        <w:rPr>
          <w:rFonts w:ascii="Times New Roman" w:hAnsi="Times New Roman"/>
          <w:smallCaps/>
          <w:highlight w:val="yellow"/>
        </w:rPr>
      </w:pPr>
      <w:bookmarkStart w:id="0" w:name="_GoBack"/>
      <w:bookmarkEnd w:id="0"/>
    </w:p>
    <w:p w:rsidR="00AF552C" w:rsidRDefault="009F7DEA" w:rsidP="00962C26">
      <w:pPr>
        <w:jc w:val="center"/>
        <w:rPr>
          <w:b/>
        </w:rPr>
      </w:pPr>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714AE5" w:rsidRDefault="002B21FD" w:rsidP="00714AE5">
                            <w:pPr>
                              <w:autoSpaceDE w:val="0"/>
                              <w:autoSpaceDN w:val="0"/>
                              <w:adjustRightInd w:val="0"/>
                              <w:rPr>
                                <w:rFonts w:ascii="Helv" w:hAnsi="Helv" w:cs="Helv"/>
                                <w:color w:val="000000"/>
                                <w:sz w:val="20"/>
                                <w:szCs w:val="20"/>
                              </w:rPr>
                            </w:pPr>
                            <w:r w:rsidRPr="0021179F">
                              <w:rPr>
                                <w:rFonts w:ascii="Arial" w:hAnsi="Arial" w:cs="Arial"/>
                                <w:b/>
                                <w:sz w:val="20"/>
                                <w:szCs w:val="20"/>
                              </w:rPr>
                              <w:t>PR/J Number:</w:t>
                            </w:r>
                            <w:r w:rsidR="00714AE5">
                              <w:rPr>
                                <w:rFonts w:ascii="Arial" w:hAnsi="Arial" w:cs="Arial"/>
                                <w:b/>
                                <w:sz w:val="20"/>
                                <w:szCs w:val="20"/>
                              </w:rPr>
                              <w:t xml:space="preserve">  </w:t>
                            </w:r>
                            <w:r w:rsidR="00714AE5">
                              <w:rPr>
                                <w:rFonts w:ascii="Helv" w:hAnsi="Helv" w:cs="Helv"/>
                                <w:color w:val="000000"/>
                                <w:sz w:val="20"/>
                                <w:szCs w:val="20"/>
                              </w:rPr>
                              <w:t>R8213100079</w:t>
                            </w:r>
                            <w:r w:rsidRPr="0021179F">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714AE5" w:rsidRDefault="002B21FD" w:rsidP="00714AE5">
                      <w:pPr>
                        <w:autoSpaceDE w:val="0"/>
                        <w:autoSpaceDN w:val="0"/>
                        <w:adjustRightInd w:val="0"/>
                        <w:rPr>
                          <w:rFonts w:ascii="Helv" w:hAnsi="Helv" w:cs="Helv"/>
                          <w:color w:val="000000"/>
                          <w:sz w:val="20"/>
                          <w:szCs w:val="20"/>
                        </w:rPr>
                      </w:pPr>
                      <w:r w:rsidRPr="0021179F">
                        <w:rPr>
                          <w:rFonts w:ascii="Arial" w:hAnsi="Arial" w:cs="Arial"/>
                          <w:b/>
                          <w:sz w:val="20"/>
                          <w:szCs w:val="20"/>
                        </w:rPr>
                        <w:t>PR/J Number:</w:t>
                      </w:r>
                      <w:r w:rsidR="00714AE5">
                        <w:rPr>
                          <w:rFonts w:ascii="Arial" w:hAnsi="Arial" w:cs="Arial"/>
                          <w:b/>
                          <w:sz w:val="20"/>
                          <w:szCs w:val="20"/>
                        </w:rPr>
                        <w:t xml:space="preserve">  </w:t>
                      </w:r>
                      <w:r w:rsidR="00714AE5">
                        <w:rPr>
                          <w:rFonts w:ascii="Helv" w:hAnsi="Helv" w:cs="Helv"/>
                          <w:color w:val="000000"/>
                          <w:sz w:val="20"/>
                          <w:szCs w:val="20"/>
                        </w:rPr>
                        <w:t>R8213100079</w:t>
                      </w:r>
                      <w:r w:rsidRPr="0021179F">
                        <w:rPr>
                          <w:rFonts w:ascii="Arial" w:hAnsi="Arial" w:cs="Arial"/>
                          <w:b/>
                          <w:sz w:val="20"/>
                          <w:szCs w:val="20"/>
                        </w:rPr>
                        <w:t xml:space="preserve">  </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857186" w:rsidRDefault="00AF552C" w:rsidP="00AF552C">
      <w:r w:rsidRPr="00857186">
        <w:rPr>
          <w:b/>
        </w:rPr>
        <w:t>Park:</w:t>
      </w:r>
      <w:r w:rsidRPr="00857186">
        <w:t xml:space="preserve"> </w:t>
      </w:r>
      <w:r w:rsidR="00932FA5">
        <w:rPr>
          <w:i/>
        </w:rPr>
        <w:t>Grand Canyon National Park</w:t>
      </w:r>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932FA5">
        <w:t xml:space="preserve"> </w:t>
      </w:r>
      <w:r w:rsidR="00932FA5" w:rsidRPr="00934AA4">
        <w:rPr>
          <w:i/>
        </w:rPr>
        <w:t>Backcountry</w:t>
      </w:r>
      <w:r w:rsidR="00932FA5">
        <w:rPr>
          <w:i/>
        </w:rPr>
        <w:t xml:space="preserve"> Ethnographic Resource Inventor</w:t>
      </w:r>
      <w:r w:rsidR="00932FA5" w:rsidRPr="00EA363F">
        <w:rPr>
          <w:i/>
        </w:rPr>
        <w:t>y</w:t>
      </w:r>
      <w:r w:rsidR="00932FA5">
        <w:rPr>
          <w:i/>
        </w:rPr>
        <w:t>, Phase 2</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Pr="00932FA5">
        <w:rPr>
          <w:i/>
        </w:rPr>
        <w:t xml:space="preserve"> </w:t>
      </w:r>
      <w:r w:rsidR="00932FA5">
        <w:rPr>
          <w:i/>
        </w:rPr>
        <w:t>$15,000</w:t>
      </w:r>
    </w:p>
    <w:p w:rsidR="00AF552C" w:rsidRPr="00857186" w:rsidRDefault="00AF552C" w:rsidP="00AF552C">
      <w:pPr>
        <w:rPr>
          <w:b/>
        </w:rPr>
      </w:pPr>
    </w:p>
    <w:p w:rsidR="00AF552C" w:rsidRPr="00867EB2" w:rsidRDefault="00AF552C" w:rsidP="00AF552C">
      <w:pPr>
        <w:rPr>
          <w:i/>
        </w:rPr>
      </w:pPr>
      <w:r w:rsidRPr="00857186">
        <w:rPr>
          <w:b/>
        </w:rPr>
        <w:t>CPCESU Partner Institution</w:t>
      </w:r>
      <w:r w:rsidR="00932FA5">
        <w:rPr>
          <w:b/>
        </w:rPr>
        <w:t xml:space="preserve">: </w:t>
      </w:r>
      <w:r w:rsidR="00932FA5" w:rsidRPr="00932FA5">
        <w:rPr>
          <w:i/>
        </w:rPr>
        <w:t>University of Arizona</w:t>
      </w:r>
    </w:p>
    <w:p w:rsidR="00AF552C" w:rsidRPr="00857186" w:rsidRDefault="00AF552C" w:rsidP="00AF552C">
      <w:pPr>
        <w:rPr>
          <w:b/>
        </w:rPr>
      </w:pPr>
    </w:p>
    <w:p w:rsidR="00932FA5" w:rsidRPr="00EA363F" w:rsidRDefault="00932FA5" w:rsidP="00932FA5">
      <w:pPr>
        <w:rPr>
          <w:i/>
        </w:rPr>
      </w:pPr>
      <w:r w:rsidRPr="00857186">
        <w:rPr>
          <w:b/>
        </w:rPr>
        <w:t>Principal Investigator</w:t>
      </w:r>
      <w:r w:rsidRPr="00F75BB4">
        <w:rPr>
          <w:b/>
        </w:rPr>
        <w:t>:</w:t>
      </w:r>
      <w:r w:rsidRPr="00857186">
        <w:t xml:space="preserve"> </w:t>
      </w:r>
      <w:r>
        <w:rPr>
          <w:i/>
        </w:rPr>
        <w:t>TJ Ferguson, School</w:t>
      </w:r>
      <w:r w:rsidRPr="00EA363F">
        <w:rPr>
          <w:i/>
        </w:rPr>
        <w:t xml:space="preserve"> of Anthropology, University of Arizona</w:t>
      </w:r>
      <w:r>
        <w:rPr>
          <w:i/>
        </w:rPr>
        <w:t xml:space="preserve">, PO Box 210030, Tucson, AZ 85721-0030, Tucson, AZ </w:t>
      </w:r>
      <w:r w:rsidRPr="00EA363F">
        <w:rPr>
          <w:i/>
        </w:rPr>
        <w:t>85721-0030</w:t>
      </w:r>
      <w:r>
        <w:rPr>
          <w:i/>
        </w:rPr>
        <w:t xml:space="preserve">, </w:t>
      </w:r>
      <w:r w:rsidRPr="00EA363F">
        <w:rPr>
          <w:i/>
        </w:rPr>
        <w:t>520-626-9684</w:t>
      </w:r>
      <w:r>
        <w:rPr>
          <w:i/>
        </w:rPr>
        <w:t xml:space="preserve"> (office); </w:t>
      </w:r>
      <w:r w:rsidRPr="00EA363F">
        <w:rPr>
          <w:i/>
        </w:rPr>
        <w:t>520-</w:t>
      </w:r>
      <w:r>
        <w:rPr>
          <w:i/>
        </w:rPr>
        <w:t>520 621-2088 (fax); tjf@email.arizona.edu</w:t>
      </w:r>
    </w:p>
    <w:p w:rsidR="00932FA5" w:rsidRPr="00857186" w:rsidRDefault="00932FA5" w:rsidP="00932FA5">
      <w:pPr>
        <w:rPr>
          <w:b/>
        </w:rPr>
      </w:pPr>
    </w:p>
    <w:p w:rsidR="00932FA5" w:rsidRPr="00656704" w:rsidRDefault="00932FA5" w:rsidP="00932FA5">
      <w:pPr>
        <w:rPr>
          <w:i/>
        </w:rPr>
      </w:pPr>
      <w:r w:rsidRPr="00857186">
        <w:rPr>
          <w:b/>
        </w:rPr>
        <w:t xml:space="preserve">NPS </w:t>
      </w:r>
      <w:r>
        <w:rPr>
          <w:b/>
        </w:rPr>
        <w:t>ATR/</w:t>
      </w:r>
      <w:r w:rsidRPr="00857186">
        <w:rPr>
          <w:b/>
        </w:rPr>
        <w:t>Key Official</w:t>
      </w:r>
      <w:r>
        <w:rPr>
          <w:b/>
        </w:rPr>
        <w:t xml:space="preserve">: </w:t>
      </w:r>
      <w:r w:rsidRPr="00656704">
        <w:rPr>
          <w:i/>
        </w:rPr>
        <w:t xml:space="preserve">Jane Rodgers, Deputy Chief, Socio-Cultural Resources, </w:t>
      </w:r>
      <w:r w:rsidR="00C26A8B">
        <w:rPr>
          <w:i/>
        </w:rPr>
        <w:t>1</w:t>
      </w:r>
      <w:r w:rsidRPr="00656704">
        <w:rPr>
          <w:i/>
        </w:rPr>
        <w:t xml:space="preserve">824 S. Thompson, </w:t>
      </w:r>
      <w:r w:rsidR="00C26A8B">
        <w:rPr>
          <w:i/>
        </w:rPr>
        <w:t xml:space="preserve">Suite 200, </w:t>
      </w:r>
      <w:r w:rsidRPr="00656704">
        <w:rPr>
          <w:i/>
        </w:rPr>
        <w:t>Flagstaff, Arizona 86001, (928) 638-7475</w:t>
      </w:r>
      <w:r w:rsidR="00904F92">
        <w:rPr>
          <w:i/>
        </w:rPr>
        <w:t xml:space="preserve">; </w:t>
      </w:r>
      <w:r w:rsidRPr="00656704">
        <w:rPr>
          <w:i/>
        </w:rPr>
        <w:t xml:space="preserve"> (928) 638-7492</w:t>
      </w:r>
      <w:r w:rsidR="00904F92">
        <w:rPr>
          <w:i/>
        </w:rPr>
        <w:t xml:space="preserve"> (fax); </w:t>
      </w:r>
      <w:r w:rsidRPr="00656704">
        <w:rPr>
          <w:i/>
        </w:rPr>
        <w:t>jane_rodgers@nps.gov</w:t>
      </w:r>
    </w:p>
    <w:p w:rsidR="00932FA5" w:rsidRPr="00857186" w:rsidRDefault="00932FA5" w:rsidP="00932FA5">
      <w:pPr>
        <w:rPr>
          <w:b/>
        </w:rPr>
      </w:pPr>
    </w:p>
    <w:p w:rsidR="00932FA5" w:rsidRPr="00656704" w:rsidRDefault="00932FA5" w:rsidP="00932FA5">
      <w:pPr>
        <w:rPr>
          <w:i/>
        </w:rPr>
      </w:pPr>
      <w:r w:rsidRPr="00857186">
        <w:rPr>
          <w:b/>
        </w:rPr>
        <w:t xml:space="preserve">NPS </w:t>
      </w:r>
      <w:r>
        <w:rPr>
          <w:b/>
        </w:rPr>
        <w:t>Project Manager/Subject Matter Expert</w:t>
      </w:r>
      <w:r w:rsidRPr="00656704">
        <w:rPr>
          <w:b/>
          <w:i/>
        </w:rPr>
        <w:t xml:space="preserve">: </w:t>
      </w:r>
      <w:r w:rsidRPr="00656704">
        <w:rPr>
          <w:i/>
        </w:rPr>
        <w:t>Jan Balsom, Deputy Chief, Science and Resource Management, PO Box 129, Grand Canyon, AZ 86023; 928 638-7758; 928 638-7755</w:t>
      </w:r>
      <w:r w:rsidR="00904F92">
        <w:rPr>
          <w:i/>
        </w:rPr>
        <w:t>(fax)</w:t>
      </w:r>
      <w:r w:rsidRPr="00656704">
        <w:rPr>
          <w:i/>
        </w:rPr>
        <w:t>;</w:t>
      </w:r>
      <w:r w:rsidR="00904F92">
        <w:rPr>
          <w:i/>
        </w:rPr>
        <w:t xml:space="preserve">  </w:t>
      </w:r>
      <w:r w:rsidRPr="00656704">
        <w:rPr>
          <w:i/>
        </w:rPr>
        <w:t>jan_balsom@nps.gov</w:t>
      </w:r>
    </w:p>
    <w:p w:rsidR="00932FA5" w:rsidRDefault="00932FA5" w:rsidP="00932FA5">
      <w:pPr>
        <w:rPr>
          <w:b/>
        </w:rPr>
      </w:pPr>
    </w:p>
    <w:p w:rsidR="00932FA5" w:rsidRPr="00857186" w:rsidRDefault="00932FA5" w:rsidP="00932FA5">
      <w:r w:rsidRPr="00857186">
        <w:rPr>
          <w:b/>
        </w:rPr>
        <w:t>Start Date:</w:t>
      </w:r>
      <w:r>
        <w:t xml:space="preserve"> </w:t>
      </w:r>
      <w:r>
        <w:rPr>
          <w:i/>
        </w:rPr>
        <w:t>September 1, 2010</w:t>
      </w:r>
    </w:p>
    <w:p w:rsidR="00932FA5" w:rsidRPr="00857186" w:rsidRDefault="00932FA5" w:rsidP="00932FA5">
      <w:pPr>
        <w:rPr>
          <w:b/>
        </w:rPr>
      </w:pPr>
    </w:p>
    <w:p w:rsidR="00932FA5" w:rsidRPr="007A541C" w:rsidRDefault="00932FA5" w:rsidP="00932FA5">
      <w:pPr>
        <w:pStyle w:val="NormalWeb"/>
        <w:spacing w:before="0" w:beforeAutospacing="0" w:after="0" w:afterAutospacing="0"/>
        <w:rPr>
          <w:i/>
          <w:color w:val="003333"/>
          <w:sz w:val="22"/>
          <w:szCs w:val="22"/>
        </w:rPr>
      </w:pPr>
      <w:r w:rsidRPr="00857186">
        <w:rPr>
          <w:b/>
        </w:rPr>
        <w:t>End Date:</w:t>
      </w:r>
      <w:r w:rsidRPr="00857186">
        <w:t xml:space="preserve"> </w:t>
      </w:r>
      <w:r w:rsidR="009D59F5">
        <w:rPr>
          <w:i/>
        </w:rPr>
        <w:t>June 30, 2011</w:t>
      </w:r>
    </w:p>
    <w:p w:rsidR="003A5BAB" w:rsidRDefault="003A5BAB" w:rsidP="003A5BAB">
      <w:pPr>
        <w:pBdr>
          <w:bottom w:val="single" w:sz="6" w:space="1" w:color="auto"/>
        </w:pBdr>
        <w:rPr>
          <w:b/>
        </w:rPr>
      </w:pPr>
    </w:p>
    <w:p w:rsidR="00CE4802" w:rsidRDefault="00CE4802" w:rsidP="003A5BAB">
      <w:pPr>
        <w:rPr>
          <w:b/>
        </w:rPr>
      </w:pPr>
    </w:p>
    <w:p w:rsidR="00932FA5" w:rsidRDefault="003A5BAB" w:rsidP="00932FA5">
      <w:r>
        <w:rPr>
          <w:b/>
        </w:rPr>
        <w:t>Abstract:</w:t>
      </w:r>
      <w:r w:rsidR="00753E25">
        <w:t xml:space="preserve"> </w:t>
      </w:r>
      <w:r w:rsidR="00932FA5">
        <w:t xml:space="preserve">This project will continue to identify ethnographic resources within the greater Grand Canyon region, incorporating tribal reviews into existing published ethnographic resource information related to the proposed Northern Arizona uranium withdrawal areas and the APE for the Backcountry Management Plan.   The partner will coordinate and assist with tribal meetings and interviews, and prepare textual and GIS generated support information.  These meetings will be focused on identifying ethnographic resources, not on consulting about specific management actions (e.g. the BMP).   Data will be compiled in a final report, and ethnographic resources will be entered into the Ethnographic Resources Information database.  Information will also be used in alternative development and in the analysis of effects to ethnographic resources in the EIS/AEF.  </w:t>
      </w:r>
    </w:p>
    <w:p w:rsidR="00CE4802" w:rsidRPr="009A261C" w:rsidRDefault="00CE4802" w:rsidP="003A5BAB">
      <w:pPr>
        <w:rPr>
          <w:b/>
        </w:rPr>
      </w:pPr>
    </w:p>
    <w:sectPr w:rsidR="00CE4802" w:rsidRPr="009A261C"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65" w:rsidRDefault="00A72465">
      <w:r>
        <w:separator/>
      </w:r>
    </w:p>
  </w:endnote>
  <w:endnote w:type="continuationSeparator" w:id="0">
    <w:p w:rsidR="00A72465" w:rsidRDefault="00A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476B11"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476B11"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9F7DEA">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65" w:rsidRDefault="00A72465">
      <w:r>
        <w:separator/>
      </w:r>
    </w:p>
  </w:footnote>
  <w:footnote w:type="continuationSeparator" w:id="0">
    <w:p w:rsidR="00A72465" w:rsidRDefault="00A72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90E"/>
    <w:multiLevelType w:val="hybridMultilevel"/>
    <w:tmpl w:val="CE6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10657A"/>
    <w:rsid w:val="00110365"/>
    <w:rsid w:val="002936BA"/>
    <w:rsid w:val="002B21FD"/>
    <w:rsid w:val="002B27F5"/>
    <w:rsid w:val="002C339C"/>
    <w:rsid w:val="00323945"/>
    <w:rsid w:val="00356C0B"/>
    <w:rsid w:val="0035717F"/>
    <w:rsid w:val="003A5BAB"/>
    <w:rsid w:val="004445E6"/>
    <w:rsid w:val="00450D87"/>
    <w:rsid w:val="00476B11"/>
    <w:rsid w:val="00495E3B"/>
    <w:rsid w:val="004D7A8A"/>
    <w:rsid w:val="005C6EC0"/>
    <w:rsid w:val="00637B3F"/>
    <w:rsid w:val="00666429"/>
    <w:rsid w:val="00714AE5"/>
    <w:rsid w:val="00753E25"/>
    <w:rsid w:val="007B0DB2"/>
    <w:rsid w:val="0083435B"/>
    <w:rsid w:val="00890F9F"/>
    <w:rsid w:val="00904F92"/>
    <w:rsid w:val="00932FA5"/>
    <w:rsid w:val="00962C26"/>
    <w:rsid w:val="0097128F"/>
    <w:rsid w:val="0097644E"/>
    <w:rsid w:val="009A261C"/>
    <w:rsid w:val="009D59F5"/>
    <w:rsid w:val="009F7DEA"/>
    <w:rsid w:val="00A72465"/>
    <w:rsid w:val="00A84F8C"/>
    <w:rsid w:val="00AC39E5"/>
    <w:rsid w:val="00AF552C"/>
    <w:rsid w:val="00B0495F"/>
    <w:rsid w:val="00B219B4"/>
    <w:rsid w:val="00C25219"/>
    <w:rsid w:val="00C26A8B"/>
    <w:rsid w:val="00CE4802"/>
    <w:rsid w:val="00D61583"/>
    <w:rsid w:val="00DA4E22"/>
    <w:rsid w:val="00DD32F2"/>
    <w:rsid w:val="00E25073"/>
    <w:rsid w:val="00E508A2"/>
    <w:rsid w:val="00E86051"/>
    <w:rsid w:val="00EA2CAF"/>
    <w:rsid w:val="00F26194"/>
    <w:rsid w:val="00F435F1"/>
    <w:rsid w:val="00F8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5B"/>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932FA5"/>
    <w:pPr>
      <w:spacing w:before="100" w:beforeAutospacing="1" w:after="100" w:afterAutospacing="1"/>
    </w:pPr>
  </w:style>
  <w:style w:type="paragraph" w:styleId="BalloonText">
    <w:name w:val="Balloon Text"/>
    <w:basedOn w:val="Normal"/>
    <w:link w:val="BalloonTextChar"/>
    <w:rsid w:val="00E508A2"/>
    <w:rPr>
      <w:rFonts w:ascii="Tahoma" w:hAnsi="Tahoma" w:cs="Tahoma"/>
      <w:sz w:val="16"/>
      <w:szCs w:val="16"/>
    </w:rPr>
  </w:style>
  <w:style w:type="character" w:customStyle="1" w:styleId="BalloonTextChar">
    <w:name w:val="Balloon Text Char"/>
    <w:basedOn w:val="DefaultParagraphFont"/>
    <w:link w:val="BalloonText"/>
    <w:rsid w:val="00E5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5B"/>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932FA5"/>
    <w:pPr>
      <w:spacing w:before="100" w:beforeAutospacing="1" w:after="100" w:afterAutospacing="1"/>
    </w:pPr>
  </w:style>
  <w:style w:type="paragraph" w:styleId="BalloonText">
    <w:name w:val="Balloon Text"/>
    <w:basedOn w:val="Normal"/>
    <w:link w:val="BalloonTextChar"/>
    <w:rsid w:val="00E508A2"/>
    <w:rPr>
      <w:rFonts w:ascii="Tahoma" w:hAnsi="Tahoma" w:cs="Tahoma"/>
      <w:sz w:val="16"/>
      <w:szCs w:val="16"/>
    </w:rPr>
  </w:style>
  <w:style w:type="character" w:customStyle="1" w:styleId="BalloonTextChar">
    <w:name w:val="Balloon Text Char"/>
    <w:basedOn w:val="DefaultParagraphFont"/>
    <w:link w:val="BalloonText"/>
    <w:rsid w:val="00E5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1816</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2014-06-19T21:29:00Z</dcterms:created>
  <dcterms:modified xsi:type="dcterms:W3CDTF">2014-06-19T21:29:00Z</dcterms:modified>
</cp:coreProperties>
</file>